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41"/>
        <w:gridCol w:w="812"/>
        <w:gridCol w:w="1965"/>
      </w:tblGrid>
      <w:tr w:rsidR="005F4B5F" w:rsidRPr="00F352D3" w14:paraId="370B6C5B" w14:textId="77777777" w:rsidTr="00D41212">
        <w:trPr>
          <w:tblHeader/>
          <w:tblCellSpacing w:w="15" w:type="dxa"/>
        </w:trPr>
        <w:tc>
          <w:tcPr>
            <w:tcW w:w="0" w:type="auto"/>
            <w:gridSpan w:val="3"/>
            <w:tcBorders>
              <w:top w:val="nil"/>
              <w:left w:val="nil"/>
              <w:bottom w:val="nil"/>
              <w:right w:val="nil"/>
            </w:tcBorders>
            <w:tcMar>
              <w:top w:w="77" w:type="dxa"/>
              <w:left w:w="77" w:type="dxa"/>
              <w:bottom w:w="77" w:type="dxa"/>
              <w:right w:w="77" w:type="dxa"/>
            </w:tcMar>
            <w:vAlign w:val="center"/>
            <w:hideMark/>
          </w:tcPr>
          <w:p w14:paraId="5AB6EF69" w14:textId="460DCABA"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EXPEDIENTE CONOBR </w:t>
            </w:r>
            <w:r w:rsidR="003543E6">
              <w:rPr>
                <w:rFonts w:asciiTheme="minorHAnsi" w:eastAsiaTheme="minorHAnsi" w:hAnsiTheme="minorHAnsi" w:cstheme="minorBidi"/>
                <w:sz w:val="22"/>
                <w:szCs w:val="22"/>
                <w:lang w:eastAsia="en-US"/>
              </w:rPr>
              <w:t>4</w:t>
            </w:r>
            <w:r w:rsidRPr="00F352D3">
              <w:rPr>
                <w:rFonts w:asciiTheme="minorHAnsi" w:eastAsiaTheme="minorHAnsi" w:hAnsiTheme="minorHAnsi" w:cstheme="minorBidi"/>
                <w:sz w:val="22"/>
                <w:szCs w:val="22"/>
                <w:lang w:eastAsia="en-US"/>
              </w:rPr>
              <w:t>/202</w:t>
            </w:r>
            <w:r w:rsidR="003543E6">
              <w:rPr>
                <w:rFonts w:asciiTheme="minorHAnsi" w:eastAsiaTheme="minorHAnsi" w:hAnsiTheme="minorHAnsi" w:cstheme="minorBidi"/>
                <w:sz w:val="22"/>
                <w:szCs w:val="22"/>
                <w:lang w:eastAsia="en-US"/>
              </w:rPr>
              <w:t>6</w:t>
            </w:r>
            <w:r w:rsidR="003B146D">
              <w:rPr>
                <w:rFonts w:asciiTheme="minorHAnsi" w:eastAsiaTheme="minorHAnsi" w:hAnsiTheme="minorHAnsi" w:cstheme="minorBidi"/>
                <w:sz w:val="22"/>
                <w:szCs w:val="22"/>
                <w:lang w:eastAsia="en-US"/>
              </w:rPr>
              <w:t xml:space="preserve"> . </w:t>
            </w:r>
            <w:r w:rsidR="003543E6">
              <w:rPr>
                <w:rFonts w:asciiTheme="minorHAnsi" w:eastAsiaTheme="minorHAnsi" w:hAnsiTheme="minorHAnsi" w:cstheme="minorBidi"/>
                <w:sz w:val="22"/>
                <w:szCs w:val="22"/>
                <w:lang w:eastAsia="en-US"/>
              </w:rPr>
              <w:t>RENOVACIÓN PLAZA DEL FRONTÓN EN MATALOBOS</w:t>
            </w:r>
            <w:r w:rsidR="003B146D">
              <w:rPr>
                <w:rFonts w:asciiTheme="minorHAnsi" w:eastAsiaTheme="minorHAnsi" w:hAnsiTheme="minorHAnsi" w:cstheme="minorBidi"/>
                <w:sz w:val="22"/>
                <w:szCs w:val="22"/>
                <w:lang w:eastAsia="en-US"/>
              </w:rPr>
              <w:t xml:space="preserve"> DEL PARAMO</w:t>
            </w:r>
          </w:p>
        </w:tc>
      </w:tr>
      <w:tr w:rsidR="005F4B5F" w:rsidRPr="00F352D3" w14:paraId="1CB0A3D1" w14:textId="77777777" w:rsidTr="00D41212">
        <w:trPr>
          <w:tblHeader/>
          <w:tblCellSpacing w:w="15" w:type="dxa"/>
        </w:trPr>
        <w:tc>
          <w:tcPr>
            <w:tcW w:w="8445" w:type="dxa"/>
            <w:gridSpan w:val="3"/>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4C48B766"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1.- PODER ADJUDICADOR </w:t>
            </w:r>
            <w:r w:rsidR="00BA1FFA">
              <w:rPr>
                <w:rFonts w:asciiTheme="minorHAnsi" w:eastAsiaTheme="minorHAnsi" w:hAnsiTheme="minorHAnsi" w:cstheme="minorBidi"/>
                <w:sz w:val="22"/>
                <w:szCs w:val="22"/>
                <w:lang w:eastAsia="en-US"/>
              </w:rPr>
              <w:t>AYUNTAMIENTO DE BUSTILLO DEL PÁ</w:t>
            </w:r>
            <w:r w:rsidRPr="00F352D3">
              <w:rPr>
                <w:rFonts w:asciiTheme="minorHAnsi" w:eastAsiaTheme="minorHAnsi" w:hAnsiTheme="minorHAnsi" w:cstheme="minorBidi"/>
                <w:sz w:val="22"/>
                <w:szCs w:val="22"/>
                <w:lang w:eastAsia="en-US"/>
              </w:rPr>
              <w:t>RAMO</w:t>
            </w:r>
          </w:p>
        </w:tc>
      </w:tr>
      <w:tr w:rsidR="005F4B5F" w:rsidRPr="00F352D3" w14:paraId="4546F917" w14:textId="77777777" w:rsidTr="00D41212">
        <w:trPr>
          <w:tblCellSpacing w:w="15" w:type="dxa"/>
        </w:trPr>
        <w:tc>
          <w:tcPr>
            <w:tcW w:w="5751"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3F8941A6"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PODERES ADJUDICADOR CONTRATANTE:</w:t>
            </w:r>
          </w:p>
        </w:tc>
        <w:tc>
          <w:tcPr>
            <w:tcW w:w="2664" w:type="dxa"/>
            <w:gridSpan w:val="2"/>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0FA8440A"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AYUNTAMIENTO DE BUSTILLO DEL PÁRAMO</w:t>
            </w:r>
          </w:p>
        </w:tc>
      </w:tr>
      <w:tr w:rsidR="005F4B5F" w:rsidRPr="00F352D3" w14:paraId="78BCCFCF" w14:textId="77777777" w:rsidTr="00D41212">
        <w:trPr>
          <w:tblCellSpacing w:w="15" w:type="dxa"/>
        </w:trPr>
        <w:tc>
          <w:tcPr>
            <w:tcW w:w="5751"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4ECECFCE"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ÓRGANO DE CONTRATACIÓN:</w:t>
            </w:r>
          </w:p>
        </w:tc>
        <w:tc>
          <w:tcPr>
            <w:tcW w:w="2664" w:type="dxa"/>
            <w:gridSpan w:val="2"/>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6F06F39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PLENO</w:t>
            </w:r>
          </w:p>
        </w:tc>
      </w:tr>
      <w:tr w:rsidR="005F4B5F" w:rsidRPr="00F352D3" w14:paraId="50895EFF" w14:textId="77777777" w:rsidTr="00D41212">
        <w:trPr>
          <w:tblCellSpacing w:w="15" w:type="dxa"/>
        </w:trPr>
        <w:tc>
          <w:tcPr>
            <w:tcW w:w="5751"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7E7D291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DIRECCIÓN DEL ÓRGANO DE CONTRATACIÓN:</w:t>
            </w:r>
          </w:p>
        </w:tc>
        <w:tc>
          <w:tcPr>
            <w:tcW w:w="2664" w:type="dxa"/>
            <w:gridSpan w:val="2"/>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229F338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ALCALDIA</w:t>
            </w:r>
          </w:p>
        </w:tc>
      </w:tr>
      <w:tr w:rsidR="005F4B5F" w:rsidRPr="00F352D3" w14:paraId="5FE23512" w14:textId="77777777" w:rsidTr="00D41212">
        <w:trPr>
          <w:tblCellSpacing w:w="15" w:type="dxa"/>
        </w:trPr>
        <w:tc>
          <w:tcPr>
            <w:tcW w:w="5751"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410E2E02"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PERFIL DEL CONTRATANTE:</w:t>
            </w:r>
          </w:p>
          <w:p w14:paraId="5807E69B"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www.aytobustillodelparamo.es/perfil-del-contrtante/</w:t>
            </w:r>
          </w:p>
        </w:tc>
        <w:tc>
          <w:tcPr>
            <w:tcW w:w="2664" w:type="dxa"/>
            <w:gridSpan w:val="2"/>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4226A705"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PAGINA WEB AYUNTAMIENTO DE BUSTILLO DEL PARAMO</w:t>
            </w:r>
          </w:p>
        </w:tc>
      </w:tr>
      <w:tr w:rsidR="005F4B5F" w:rsidRPr="00F352D3" w14:paraId="43B2A8B5" w14:textId="77777777" w:rsidTr="00D41212">
        <w:trPr>
          <w:tblCellSpacing w:w="15" w:type="dxa"/>
        </w:trPr>
        <w:tc>
          <w:tcPr>
            <w:tcW w:w="5751"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041ACD9B"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RESPONSABLE DEL CONTRATO:</w:t>
            </w:r>
          </w:p>
        </w:tc>
        <w:tc>
          <w:tcPr>
            <w:tcW w:w="2664" w:type="dxa"/>
            <w:gridSpan w:val="2"/>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134E7386"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DIRECTOR FACULTATIVO</w:t>
            </w:r>
          </w:p>
        </w:tc>
      </w:tr>
      <w:tr w:rsidR="005F4B5F" w:rsidRPr="00F352D3" w14:paraId="49F3272E" w14:textId="77777777" w:rsidTr="00D41212">
        <w:trPr>
          <w:tblCellSpacing w:w="15" w:type="dxa"/>
        </w:trPr>
        <w:tc>
          <w:tcPr>
            <w:tcW w:w="5751"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37FEF71B"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EXISTENCIA DE CONSULTA PRELIMINAR AL MERCADO:</w:t>
            </w:r>
          </w:p>
        </w:tc>
        <w:tc>
          <w:tcPr>
            <w:tcW w:w="756"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4B5A87FF" w14:textId="77777777" w:rsidR="005F4B5F" w:rsidRPr="00F352D3" w:rsidRDefault="005F4B5F" w:rsidP="00D41212">
            <w:pPr>
              <w:spacing w:after="200" w:line="276" w:lineRule="auto"/>
              <w:rPr>
                <w:rFonts w:asciiTheme="minorHAnsi" w:eastAsiaTheme="minorHAnsi" w:hAnsiTheme="minorHAnsi" w:cstheme="minorBidi"/>
                <w:lang w:eastAsia="en-US"/>
              </w:rPr>
            </w:pPr>
          </w:p>
        </w:tc>
        <w:tc>
          <w:tcPr>
            <w:tcW w:w="187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6B201C86"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NO </w:t>
            </w:r>
          </w:p>
        </w:tc>
      </w:tr>
    </w:tbl>
    <w:p w14:paraId="1032FC23"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48"/>
      </w:tblGrid>
      <w:tr w:rsidR="005F4B5F" w:rsidRPr="00F352D3" w14:paraId="79A49A76" w14:textId="77777777" w:rsidTr="00D41212">
        <w:trPr>
          <w:tblCellSpacing w:w="15" w:type="dxa"/>
        </w:trPr>
        <w:tc>
          <w:tcPr>
            <w:tcW w:w="8428" w:type="dxa"/>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0EFF77D3"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2.- DEFINICIÓN DEL OBJETO DEL CONTRATO:</w:t>
            </w:r>
          </w:p>
        </w:tc>
      </w:tr>
      <w:tr w:rsidR="005F4B5F" w:rsidRPr="00F352D3" w14:paraId="6DE88956" w14:textId="77777777" w:rsidTr="00D41212">
        <w:trPr>
          <w:tblCellSpacing w:w="15" w:type="dxa"/>
        </w:trPr>
        <w:tc>
          <w:tcPr>
            <w:tcW w:w="842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3AC6A5A4"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CONTRATACIÓN OBRAS:</w:t>
            </w:r>
          </w:p>
          <w:p w14:paraId="71CD5952"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La fiscalización del gasto, su aprobación, y la adquisición del compromiso, no se realizará hasta que se conozca el importe y las condiciones del contrato de acuerdo con la proposición seleccionada.</w:t>
            </w:r>
          </w:p>
        </w:tc>
      </w:tr>
      <w:tr w:rsidR="005F4B5F" w:rsidRPr="00F352D3" w14:paraId="4EB1EF9D" w14:textId="77777777" w:rsidTr="00D41212">
        <w:trPr>
          <w:tblCellSpacing w:w="15" w:type="dxa"/>
        </w:trPr>
        <w:tc>
          <w:tcPr>
            <w:tcW w:w="842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0CE98D79"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OBRAS A TANTO ALZADO CON PRECIO CERRADO:</w:t>
            </w:r>
          </w:p>
          <w:p w14:paraId="76E51DB7"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-Se excluyen algunas unidades y se abonarán por precios unitarios:</w:t>
            </w:r>
          </w:p>
        </w:tc>
      </w:tr>
      <w:tr w:rsidR="005F4B5F" w:rsidRPr="00F352D3" w14:paraId="563FE4DF" w14:textId="77777777" w:rsidTr="00D41212">
        <w:trPr>
          <w:tblCellSpacing w:w="15" w:type="dxa"/>
        </w:trPr>
        <w:tc>
          <w:tcPr>
            <w:tcW w:w="842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1B4236E0"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CLASIFICACIÓN DE LAS OBRAS</w:t>
            </w:r>
          </w:p>
        </w:tc>
      </w:tr>
      <w:tr w:rsidR="005F4B5F" w:rsidRPr="00F352D3" w14:paraId="5C8BC716" w14:textId="77777777" w:rsidTr="00D41212">
        <w:trPr>
          <w:tblCellSpacing w:w="15" w:type="dxa"/>
        </w:trPr>
        <w:tc>
          <w:tcPr>
            <w:tcW w:w="8428"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6C3C335F" w14:textId="2FDEFB97" w:rsidR="005F4B5F" w:rsidRPr="00F352D3" w:rsidRDefault="005F4B5F" w:rsidP="006E14FE">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CÓDIGO CPV:</w:t>
            </w:r>
            <w:r w:rsidR="006E14FE">
              <w:rPr>
                <w:rFonts w:asciiTheme="minorHAnsi" w:eastAsiaTheme="minorHAnsi" w:hAnsiTheme="minorHAnsi" w:cstheme="minorBidi"/>
                <w:sz w:val="22"/>
                <w:szCs w:val="22"/>
                <w:lang w:eastAsia="en-US"/>
              </w:rPr>
              <w:t xml:space="preserve">     </w:t>
            </w:r>
            <w:r w:rsidR="00677005">
              <w:rPr>
                <w:rFonts w:asciiTheme="minorHAnsi" w:eastAsiaTheme="minorHAnsi" w:hAnsiTheme="minorHAnsi" w:cstheme="minorBidi"/>
                <w:sz w:val="22"/>
                <w:szCs w:val="22"/>
                <w:lang w:eastAsia="en-US"/>
              </w:rPr>
              <w:t>45262520</w:t>
            </w:r>
          </w:p>
        </w:tc>
      </w:tr>
      <w:tr w:rsidR="005F4B5F" w:rsidRPr="00F352D3" w14:paraId="29F8EFA4" w14:textId="77777777" w:rsidTr="00D41212">
        <w:trPr>
          <w:tblCellSpacing w:w="15" w:type="dxa"/>
        </w:trPr>
        <w:tc>
          <w:tcPr>
            <w:tcW w:w="8428"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79616F54" w14:textId="3FFAA7D1"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PROYECTO TÉCNICO: </w:t>
            </w:r>
            <w:r w:rsidR="003543E6">
              <w:rPr>
                <w:rFonts w:asciiTheme="minorHAnsi" w:eastAsiaTheme="minorHAnsi" w:hAnsiTheme="minorHAnsi" w:cstheme="minorBidi"/>
                <w:sz w:val="22"/>
                <w:szCs w:val="22"/>
                <w:lang w:eastAsia="en-US"/>
              </w:rPr>
              <w:t xml:space="preserve">RENOVACIÓN PLAZA DEL FRONTÓN DE MATALOBOS DEL </w:t>
            </w:r>
            <w:r w:rsidR="009D74B5">
              <w:rPr>
                <w:rFonts w:asciiTheme="minorHAnsi" w:eastAsiaTheme="minorHAnsi" w:hAnsiTheme="minorHAnsi" w:cstheme="minorBidi"/>
                <w:sz w:val="22"/>
                <w:szCs w:val="22"/>
                <w:lang w:eastAsia="en-US"/>
              </w:rPr>
              <w:t>PARAMO-</w:t>
            </w:r>
            <w:r w:rsidR="00A944CC">
              <w:rPr>
                <w:rFonts w:asciiTheme="minorHAnsi" w:eastAsiaTheme="minorHAnsi" w:hAnsiTheme="minorHAnsi" w:cstheme="minorBidi"/>
                <w:sz w:val="22"/>
                <w:szCs w:val="22"/>
                <w:lang w:eastAsia="en-US"/>
              </w:rPr>
              <w:t xml:space="preserve">FONDO </w:t>
            </w:r>
            <w:r w:rsidR="00692C7A">
              <w:rPr>
                <w:rFonts w:asciiTheme="minorHAnsi" w:eastAsiaTheme="minorHAnsi" w:hAnsiTheme="minorHAnsi" w:cstheme="minorBidi"/>
                <w:sz w:val="22"/>
                <w:szCs w:val="22"/>
                <w:lang w:eastAsia="en-US"/>
              </w:rPr>
              <w:t>COOPERACION ECONOMICA LOCAL GENERAL</w:t>
            </w:r>
            <w:r w:rsidR="00A944CC">
              <w:rPr>
                <w:rFonts w:asciiTheme="minorHAnsi" w:eastAsiaTheme="minorHAnsi" w:hAnsiTheme="minorHAnsi" w:cstheme="minorBidi"/>
                <w:sz w:val="22"/>
                <w:szCs w:val="22"/>
                <w:lang w:eastAsia="en-US"/>
              </w:rPr>
              <w:t xml:space="preserve"> JCYL-202</w:t>
            </w:r>
            <w:r w:rsidR="003543E6">
              <w:rPr>
                <w:rFonts w:asciiTheme="minorHAnsi" w:eastAsiaTheme="minorHAnsi" w:hAnsiTheme="minorHAnsi" w:cstheme="minorBidi"/>
                <w:sz w:val="22"/>
                <w:szCs w:val="22"/>
                <w:lang w:eastAsia="en-US"/>
              </w:rPr>
              <w:t>6</w:t>
            </w:r>
          </w:p>
        </w:tc>
      </w:tr>
      <w:tr w:rsidR="005F4B5F" w:rsidRPr="00F352D3" w14:paraId="0ED95373" w14:textId="77777777" w:rsidTr="00D41212">
        <w:trPr>
          <w:tblCellSpacing w:w="15" w:type="dxa"/>
        </w:trPr>
        <w:tc>
          <w:tcPr>
            <w:tcW w:w="842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4E0E1F73" w14:textId="15B84139"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lastRenderedPageBreak/>
              <w:t xml:space="preserve">AUTOR DEL PROYECTO: </w:t>
            </w:r>
            <w:r w:rsidR="003543E6">
              <w:rPr>
                <w:rFonts w:asciiTheme="minorHAnsi" w:eastAsiaTheme="minorHAnsi" w:hAnsiTheme="minorHAnsi" w:cstheme="minorBidi"/>
                <w:sz w:val="22"/>
                <w:szCs w:val="22"/>
                <w:lang w:eastAsia="en-US"/>
              </w:rPr>
              <w:t>SANDRA FRANCO DOMINGUEZ y JOSÉ RAMON FERRERO CARBAJO.</w:t>
            </w:r>
          </w:p>
        </w:tc>
      </w:tr>
      <w:tr w:rsidR="005F4B5F" w:rsidRPr="00F352D3" w14:paraId="6FCF3C78" w14:textId="77777777" w:rsidTr="00D41212">
        <w:trPr>
          <w:tblCellSpacing w:w="15" w:type="dxa"/>
        </w:trPr>
        <w:tc>
          <w:tcPr>
            <w:tcW w:w="842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42631FFE" w14:textId="4A422B2B" w:rsidR="005F4B5F" w:rsidRPr="00F352D3" w:rsidRDefault="0080352B" w:rsidP="00D41212">
            <w:pPr>
              <w:spacing w:after="200" w:line="276" w:lineRule="auto"/>
              <w:rPr>
                <w:rFonts w:asciiTheme="minorHAnsi" w:eastAsiaTheme="minorHAnsi" w:hAnsiTheme="minorHAnsi" w:cstheme="minorBidi"/>
                <w:lang w:eastAsia="en-US"/>
              </w:rPr>
            </w:pPr>
            <w:r>
              <w:rPr>
                <w:rFonts w:asciiTheme="minorHAnsi" w:eastAsiaTheme="minorHAnsi" w:hAnsiTheme="minorHAnsi" w:cstheme="minorBidi"/>
                <w:sz w:val="22"/>
                <w:szCs w:val="22"/>
                <w:lang w:eastAsia="en-US"/>
              </w:rPr>
              <w:t>FECHA DE APROBACIÓN:</w:t>
            </w:r>
            <w:r w:rsidR="006E14FE">
              <w:rPr>
                <w:rFonts w:asciiTheme="minorHAnsi" w:eastAsiaTheme="minorHAnsi" w:hAnsiTheme="minorHAnsi" w:cstheme="minorBidi"/>
                <w:sz w:val="22"/>
                <w:szCs w:val="22"/>
                <w:lang w:eastAsia="en-US"/>
              </w:rPr>
              <w:t xml:space="preserve">     </w:t>
            </w:r>
            <w:r w:rsidR="003543E6">
              <w:rPr>
                <w:rFonts w:asciiTheme="minorHAnsi" w:eastAsiaTheme="minorHAnsi" w:hAnsiTheme="minorHAnsi" w:cstheme="minorBidi"/>
                <w:sz w:val="22"/>
                <w:szCs w:val="22"/>
                <w:lang w:eastAsia="en-US"/>
              </w:rPr>
              <w:t>25-06-2026</w:t>
            </w:r>
          </w:p>
        </w:tc>
      </w:tr>
      <w:tr w:rsidR="005F4B5F" w:rsidRPr="00F352D3" w14:paraId="1BD32D4F" w14:textId="77777777" w:rsidTr="00D41212">
        <w:trPr>
          <w:tblCellSpacing w:w="15" w:type="dxa"/>
        </w:trPr>
        <w:tc>
          <w:tcPr>
            <w:tcW w:w="842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7C4FC8B1"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ESTUDIO DE SEGURIDAD Y SALUD:  SI </w:t>
            </w:r>
          </w:p>
        </w:tc>
      </w:tr>
      <w:tr w:rsidR="005F4B5F" w:rsidRPr="00F352D3" w14:paraId="6AD48EC7" w14:textId="77777777" w:rsidTr="00D41212">
        <w:trPr>
          <w:tblCellSpacing w:w="15" w:type="dxa"/>
        </w:trPr>
        <w:tc>
          <w:tcPr>
            <w:tcW w:w="842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0F7DDEAF" w14:textId="3A38A6CD"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DIRECTOR DE LA OBRA: </w:t>
            </w:r>
            <w:r w:rsidR="003543E6">
              <w:rPr>
                <w:rFonts w:asciiTheme="minorHAnsi" w:eastAsiaTheme="minorHAnsi" w:hAnsiTheme="minorHAnsi" w:cstheme="minorBidi"/>
                <w:sz w:val="22"/>
                <w:szCs w:val="22"/>
                <w:lang w:eastAsia="en-US"/>
              </w:rPr>
              <w:t>SANDRA FRANCO DOMINGUEZ y JOSÉ RAMON FERRERO CARBAJO</w:t>
            </w:r>
          </w:p>
        </w:tc>
      </w:tr>
      <w:tr w:rsidR="005F4B5F" w:rsidRPr="00F352D3" w14:paraId="11520764" w14:textId="77777777" w:rsidTr="00D41212">
        <w:trPr>
          <w:tblCellSpacing w:w="15" w:type="dxa"/>
        </w:trPr>
        <w:tc>
          <w:tcPr>
            <w:tcW w:w="842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777652C3" w14:textId="51D28F11"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DIRECTOR DE EJECUCIÓN DE LA OBRA: </w:t>
            </w:r>
            <w:r w:rsidR="003543E6">
              <w:rPr>
                <w:rFonts w:asciiTheme="minorHAnsi" w:eastAsiaTheme="minorHAnsi" w:hAnsiTheme="minorHAnsi" w:cstheme="minorBidi"/>
                <w:sz w:val="22"/>
                <w:szCs w:val="22"/>
                <w:lang w:eastAsia="en-US"/>
              </w:rPr>
              <w:t>SANDRA FRANCO DOMINGUEZ y JOSÉ RAMON FERRERO CARBAJO</w:t>
            </w:r>
          </w:p>
        </w:tc>
      </w:tr>
      <w:tr w:rsidR="005F4B5F" w:rsidRPr="00F352D3" w14:paraId="73A3ED09" w14:textId="77777777" w:rsidTr="00D41212">
        <w:trPr>
          <w:tblCellSpacing w:w="15" w:type="dxa"/>
        </w:trPr>
        <w:tc>
          <w:tcPr>
            <w:tcW w:w="842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12F2473F" w14:textId="34D1B78A"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COORDINADOR DE SEGURIDAD Y SALUD:</w:t>
            </w:r>
            <w:r w:rsidR="002546AC">
              <w:rPr>
                <w:rFonts w:asciiTheme="minorHAnsi" w:eastAsiaTheme="minorHAnsi" w:hAnsiTheme="minorHAnsi" w:cstheme="minorBidi"/>
                <w:sz w:val="22"/>
                <w:szCs w:val="22"/>
                <w:lang w:eastAsia="en-US"/>
              </w:rPr>
              <w:t xml:space="preserve"> </w:t>
            </w:r>
            <w:r w:rsidR="003543E6">
              <w:rPr>
                <w:rFonts w:asciiTheme="minorHAnsi" w:eastAsiaTheme="minorHAnsi" w:hAnsiTheme="minorHAnsi" w:cstheme="minorBidi"/>
                <w:sz w:val="22"/>
                <w:szCs w:val="22"/>
                <w:lang w:eastAsia="en-US"/>
              </w:rPr>
              <w:t>VICTOR M. SARMIENTO JUAN</w:t>
            </w:r>
          </w:p>
        </w:tc>
      </w:tr>
      <w:tr w:rsidR="005F4B5F" w:rsidRPr="00F352D3" w14:paraId="361F535C" w14:textId="77777777" w:rsidTr="00D41212">
        <w:trPr>
          <w:tblCellSpacing w:w="15" w:type="dxa"/>
        </w:trPr>
        <w:tc>
          <w:tcPr>
            <w:tcW w:w="842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72C97877"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 Se consideran las UTES licitadores </w:t>
            </w:r>
          </w:p>
        </w:tc>
      </w:tr>
    </w:tbl>
    <w:p w14:paraId="6ACDBA13"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32"/>
        <w:gridCol w:w="3916"/>
      </w:tblGrid>
      <w:tr w:rsidR="005F4B5F" w:rsidRPr="00F352D3" w14:paraId="4B4F7A3F" w14:textId="77777777" w:rsidTr="00D41212">
        <w:trPr>
          <w:tblHeade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716859F2"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3.- PROCEDIMIENTO DE ADJUDICACIÓN Y FORMA DE TRAMITACIÓN</w:t>
            </w:r>
          </w:p>
        </w:tc>
      </w:tr>
      <w:tr w:rsidR="005F4B5F" w:rsidRPr="00F352D3" w14:paraId="15716059" w14:textId="77777777" w:rsidTr="00D41212">
        <w:trP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43119AE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CONTRATO NO SUJETO A REGULACIÓN AMONIZADA</w:t>
            </w:r>
          </w:p>
        </w:tc>
      </w:tr>
      <w:tr w:rsidR="005F4B5F" w:rsidRPr="00F352D3" w14:paraId="3CEFE7B2" w14:textId="77777777" w:rsidTr="00D41212">
        <w:trPr>
          <w:tblCellSpacing w:w="15" w:type="dxa"/>
        </w:trPr>
        <w:tc>
          <w:tcPr>
            <w:tcW w:w="4787"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3989FF8A"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PROCEDIMIENTO DE ADJUDICACIÓN:</w:t>
            </w:r>
          </w:p>
        </w:tc>
        <w:tc>
          <w:tcPr>
            <w:tcW w:w="3871"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7E1D165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ABIERTO SIMPLIFICADO</w:t>
            </w:r>
          </w:p>
        </w:tc>
      </w:tr>
      <w:tr w:rsidR="005F4B5F" w:rsidRPr="00F352D3" w14:paraId="558DA266" w14:textId="77777777" w:rsidTr="00D41212">
        <w:trPr>
          <w:tblCellSpacing w:w="15" w:type="dxa"/>
        </w:trPr>
        <w:tc>
          <w:tcPr>
            <w:tcW w:w="4787"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5A985F85"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TRAMITACIÓN:</w:t>
            </w:r>
          </w:p>
        </w:tc>
        <w:tc>
          <w:tcPr>
            <w:tcW w:w="3871"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22955293"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 ORDINARIA</w:t>
            </w:r>
          </w:p>
        </w:tc>
      </w:tr>
    </w:tbl>
    <w:p w14:paraId="359C0A75"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32"/>
        <w:gridCol w:w="791"/>
        <w:gridCol w:w="2311"/>
        <w:gridCol w:w="2240"/>
        <w:gridCol w:w="1574"/>
      </w:tblGrid>
      <w:tr w:rsidR="005F4B5F" w:rsidRPr="00F352D3" w14:paraId="36A70BE3" w14:textId="77777777" w:rsidTr="00D41212">
        <w:trPr>
          <w:tblHeader/>
          <w:tblCellSpacing w:w="15" w:type="dxa"/>
        </w:trPr>
        <w:tc>
          <w:tcPr>
            <w:tcW w:w="8428" w:type="dxa"/>
            <w:gridSpan w:val="5"/>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3E49F775"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4.- PRESUPUESTO BASE DE LICITACIÓN, PRECIO DEL CONTRATO Y TIPO DE LICITACIÓN</w:t>
            </w:r>
          </w:p>
        </w:tc>
      </w:tr>
      <w:tr w:rsidR="005F4B5F" w:rsidRPr="00F352D3" w14:paraId="5E462E71" w14:textId="77777777" w:rsidTr="00D41212">
        <w:trPr>
          <w:tblCellSpacing w:w="15" w:type="dxa"/>
        </w:trPr>
        <w:tc>
          <w:tcPr>
            <w:tcW w:w="8428" w:type="dxa"/>
            <w:gridSpan w:val="5"/>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417FC8C6"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PRESUPUESTO BASE DE LICITACION</w:t>
            </w:r>
          </w:p>
        </w:tc>
      </w:tr>
      <w:tr w:rsidR="005F4B5F" w:rsidRPr="00F352D3" w14:paraId="4C83B604" w14:textId="77777777" w:rsidTr="00D41212">
        <w:trPr>
          <w:tblCellSpacing w:w="15" w:type="dxa"/>
        </w:trPr>
        <w:tc>
          <w:tcPr>
            <w:tcW w:w="1732"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45708F13"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Presupuesto base de licitación:</w:t>
            </w:r>
          </w:p>
          <w:p w14:paraId="0A2DA692" w14:textId="77777777" w:rsidR="005F4B5F" w:rsidRPr="00F352D3" w:rsidRDefault="005F4B5F" w:rsidP="00D41212">
            <w:pPr>
              <w:spacing w:after="200" w:line="276" w:lineRule="auto"/>
              <w:rPr>
                <w:rFonts w:asciiTheme="minorHAnsi" w:eastAsiaTheme="minorHAnsi" w:hAnsiTheme="minorHAnsi" w:cstheme="minorBidi"/>
                <w:lang w:eastAsia="en-US"/>
              </w:rPr>
            </w:pPr>
          </w:p>
        </w:tc>
        <w:tc>
          <w:tcPr>
            <w:tcW w:w="738"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145BDA47"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SIN LOTES</w:t>
            </w:r>
          </w:p>
        </w:tc>
        <w:tc>
          <w:tcPr>
            <w:tcW w:w="2212"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22D181DA"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SIN IVA </w:t>
            </w:r>
          </w:p>
          <w:p w14:paraId="5A6F5A8A" w14:textId="1C4F006D" w:rsidR="005F4B5F" w:rsidRPr="00F352D3" w:rsidRDefault="003543E6" w:rsidP="00D41212">
            <w:pPr>
              <w:spacing w:after="200" w:line="276" w:lineRule="auto"/>
              <w:rPr>
                <w:rFonts w:asciiTheme="minorHAnsi" w:eastAsiaTheme="minorHAnsi" w:hAnsiTheme="minorHAnsi" w:cstheme="minorBidi"/>
                <w:lang w:eastAsia="en-US"/>
              </w:rPr>
            </w:pPr>
            <w:r>
              <w:rPr>
                <w:rFonts w:asciiTheme="minorHAnsi" w:eastAsiaTheme="minorHAnsi" w:hAnsiTheme="minorHAnsi" w:cstheme="minorBidi"/>
                <w:sz w:val="22"/>
                <w:szCs w:val="22"/>
                <w:lang w:eastAsia="en-US"/>
              </w:rPr>
              <w:t>20.806,61</w:t>
            </w:r>
            <w:r w:rsidR="002F5C64">
              <w:rPr>
                <w:rFonts w:asciiTheme="minorHAnsi" w:eastAsiaTheme="minorHAnsi" w:hAnsiTheme="minorHAnsi" w:cstheme="minorBidi"/>
                <w:sz w:val="22"/>
                <w:szCs w:val="22"/>
                <w:lang w:eastAsia="en-US"/>
              </w:rPr>
              <w:t xml:space="preserve"> €</w:t>
            </w:r>
          </w:p>
        </w:tc>
        <w:tc>
          <w:tcPr>
            <w:tcW w:w="2143"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7CF151DF" w14:textId="77777777" w:rsidR="006368E5"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IMPORTE IVA </w:t>
            </w:r>
          </w:p>
          <w:p w14:paraId="50DECDE0" w14:textId="3F876352" w:rsidR="005F4B5F" w:rsidRPr="00F352D3" w:rsidRDefault="003543E6" w:rsidP="00D41212">
            <w:pPr>
              <w:spacing w:after="200" w:line="276" w:lineRule="auto"/>
              <w:rPr>
                <w:rFonts w:asciiTheme="minorHAnsi" w:eastAsiaTheme="minorHAnsi" w:hAnsiTheme="minorHAnsi" w:cstheme="minorBidi"/>
                <w:lang w:eastAsia="en-US"/>
              </w:rPr>
            </w:pPr>
            <w:r>
              <w:rPr>
                <w:rFonts w:asciiTheme="minorHAnsi" w:eastAsiaTheme="minorHAnsi" w:hAnsiTheme="minorHAnsi" w:cstheme="minorBidi"/>
                <w:sz w:val="22"/>
                <w:szCs w:val="22"/>
                <w:lang w:eastAsia="en-US"/>
              </w:rPr>
              <w:t>4.369,39</w:t>
            </w:r>
            <w:r w:rsidR="002F5C64">
              <w:rPr>
                <w:rFonts w:asciiTheme="minorHAnsi" w:eastAsiaTheme="minorHAnsi" w:hAnsiTheme="minorHAnsi" w:cstheme="minorBidi"/>
                <w:sz w:val="22"/>
                <w:szCs w:val="22"/>
                <w:lang w:eastAsia="en-US"/>
              </w:rPr>
              <w:t xml:space="preserve"> €</w:t>
            </w:r>
          </w:p>
        </w:tc>
        <w:tc>
          <w:tcPr>
            <w:tcW w:w="1483"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0E8CD994" w14:textId="178A2B8B" w:rsidR="005F4B5F" w:rsidRPr="00F352D3" w:rsidRDefault="00BA1FFA" w:rsidP="00D41212">
            <w:pPr>
              <w:spacing w:after="200" w:line="276" w:lineRule="auto"/>
              <w:rPr>
                <w:rFonts w:asciiTheme="minorHAnsi" w:eastAsiaTheme="minorHAnsi" w:hAnsiTheme="minorHAnsi" w:cstheme="minorBidi"/>
                <w:lang w:eastAsia="en-US"/>
              </w:rPr>
            </w:pPr>
            <w:r>
              <w:rPr>
                <w:rFonts w:asciiTheme="minorHAnsi" w:eastAsiaTheme="minorHAnsi" w:hAnsiTheme="minorHAnsi" w:cstheme="minorBidi"/>
                <w:sz w:val="22"/>
                <w:szCs w:val="22"/>
                <w:lang w:eastAsia="en-US"/>
              </w:rPr>
              <w:t xml:space="preserve">PRESUPUESTO CON IVA </w:t>
            </w:r>
            <w:r w:rsidR="003543E6">
              <w:rPr>
                <w:rFonts w:asciiTheme="minorHAnsi" w:eastAsiaTheme="minorHAnsi" w:hAnsiTheme="minorHAnsi" w:cstheme="minorBidi"/>
                <w:sz w:val="22"/>
                <w:szCs w:val="22"/>
                <w:lang w:eastAsia="en-US"/>
              </w:rPr>
              <w:t>25.176,00</w:t>
            </w:r>
            <w:r w:rsidR="002F5C64">
              <w:rPr>
                <w:rFonts w:asciiTheme="minorHAnsi" w:eastAsiaTheme="minorHAnsi" w:hAnsiTheme="minorHAnsi" w:cstheme="minorBidi"/>
                <w:sz w:val="22"/>
                <w:szCs w:val="22"/>
                <w:lang w:eastAsia="en-US"/>
              </w:rPr>
              <w:t xml:space="preserve"> €</w:t>
            </w:r>
          </w:p>
        </w:tc>
      </w:tr>
      <w:tr w:rsidR="005F4B5F" w:rsidRPr="00F352D3" w14:paraId="391242F3" w14:textId="77777777" w:rsidTr="00D41212">
        <w:trPr>
          <w:tblCellSpacing w:w="15" w:type="dxa"/>
        </w:trPr>
        <w:tc>
          <w:tcPr>
            <w:tcW w:w="8428" w:type="dxa"/>
            <w:gridSpan w:val="5"/>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488"/>
            </w:tblGrid>
            <w:tr w:rsidR="005F4B5F" w:rsidRPr="00F352D3" w14:paraId="0A392BE3" w14:textId="77777777" w:rsidTr="00D41212">
              <w:trPr>
                <w:tblCellSpacing w:w="15" w:type="dxa"/>
              </w:trPr>
              <w:tc>
                <w:tcPr>
                  <w:tcW w:w="816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73EA9A95"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 Se consideran las UTES licitadores: </w:t>
                  </w:r>
                </w:p>
              </w:tc>
            </w:tr>
          </w:tbl>
          <w:p w14:paraId="4E554A5A"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TIPO DE LICITACIÓN</w:t>
            </w:r>
          </w:p>
        </w:tc>
      </w:tr>
      <w:tr w:rsidR="005F4B5F" w:rsidRPr="00F352D3" w14:paraId="7F0DEA75" w14:textId="77777777" w:rsidTr="00D41212">
        <w:trPr>
          <w:tblCellSpacing w:w="15" w:type="dxa"/>
        </w:trPr>
        <w:tc>
          <w:tcPr>
            <w:tcW w:w="1732"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0C9F3F78"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lastRenderedPageBreak/>
              <w:t>- A la baja sobre:</w:t>
            </w:r>
          </w:p>
        </w:tc>
        <w:tc>
          <w:tcPr>
            <w:tcW w:w="6666" w:type="dxa"/>
            <w:gridSpan w:val="4"/>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5452943E"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 El presupuesto base de licitación</w:t>
            </w:r>
          </w:p>
        </w:tc>
      </w:tr>
    </w:tbl>
    <w:p w14:paraId="53E885D6"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03"/>
        <w:gridCol w:w="3845"/>
      </w:tblGrid>
      <w:tr w:rsidR="005F4B5F" w:rsidRPr="00F352D3" w14:paraId="6C00F2D5" w14:textId="77777777" w:rsidTr="00D41212">
        <w:trPr>
          <w:tblHeade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1A633BFC"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5.- VALOR ESTIMADO DEL CONTRATO</w:t>
            </w:r>
          </w:p>
        </w:tc>
      </w:tr>
      <w:tr w:rsidR="005F4B5F" w:rsidRPr="00F352D3" w14:paraId="38D4DC56" w14:textId="77777777" w:rsidTr="00D41212">
        <w:trPr>
          <w:tblCellSpacing w:w="15" w:type="dxa"/>
        </w:trPr>
        <w:tc>
          <w:tcPr>
            <w:tcW w:w="4858"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7B70CFBC"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PRESUPUESTO DE LICITACIÓN:</w:t>
            </w:r>
          </w:p>
        </w:tc>
        <w:tc>
          <w:tcPr>
            <w:tcW w:w="3800"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31DE50F7" w14:textId="2AC472BC" w:rsidR="005F4B5F" w:rsidRPr="00F352D3" w:rsidRDefault="003543E6" w:rsidP="00D41212">
            <w:pPr>
              <w:spacing w:after="200" w:line="276" w:lineRule="auto"/>
              <w:rPr>
                <w:rFonts w:asciiTheme="minorHAnsi" w:eastAsiaTheme="minorHAnsi" w:hAnsiTheme="minorHAnsi" w:cstheme="minorBidi"/>
                <w:lang w:eastAsia="en-US"/>
              </w:rPr>
            </w:pPr>
            <w:r>
              <w:rPr>
                <w:rFonts w:asciiTheme="minorHAnsi" w:eastAsiaTheme="minorHAnsi" w:hAnsiTheme="minorHAnsi" w:cstheme="minorBidi"/>
                <w:sz w:val="22"/>
                <w:szCs w:val="22"/>
                <w:lang w:eastAsia="en-US"/>
              </w:rPr>
              <w:t>25.176,00</w:t>
            </w:r>
            <w:r w:rsidR="00692C7A">
              <w:rPr>
                <w:rFonts w:asciiTheme="minorHAnsi" w:eastAsiaTheme="minorHAnsi" w:hAnsiTheme="minorHAnsi" w:cstheme="minorBidi"/>
                <w:sz w:val="22"/>
                <w:szCs w:val="22"/>
                <w:lang w:eastAsia="en-US"/>
              </w:rPr>
              <w:t xml:space="preserve"> €</w:t>
            </w:r>
          </w:p>
        </w:tc>
      </w:tr>
    </w:tbl>
    <w:p w14:paraId="5915A974"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21"/>
        <w:gridCol w:w="3627"/>
      </w:tblGrid>
      <w:tr w:rsidR="005F4B5F" w:rsidRPr="00F352D3" w14:paraId="7CB5E0D0" w14:textId="77777777" w:rsidTr="00D41212">
        <w:trPr>
          <w:tblHeade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2F12BBA8"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6.- SOLVENCIA</w:t>
            </w:r>
          </w:p>
        </w:tc>
      </w:tr>
      <w:tr w:rsidR="005F4B5F" w:rsidRPr="00F352D3" w14:paraId="69DD17D9" w14:textId="77777777" w:rsidTr="00D41212">
        <w:trPr>
          <w:tblCellSpacing w:w="15" w:type="dxa"/>
        </w:trPr>
        <w:tc>
          <w:tcPr>
            <w:tcW w:w="5076"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687E8206"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REQUISITOS MÍNIMOS DE SOLVENCIA Y DOCUMENTACIÓN ACREDITATIVA (</w:t>
            </w:r>
            <w:hyperlink r:id="rId5" w:anchor="I616');" w:tooltip="enlace" w:history="1">
              <w:r w:rsidRPr="00F352D3">
                <w:rPr>
                  <w:rFonts w:asciiTheme="minorHAnsi" w:eastAsiaTheme="minorHAnsi" w:hAnsiTheme="minorHAnsi" w:cstheme="minorBidi"/>
                  <w:sz w:val="22"/>
                  <w:szCs w:val="22"/>
                  <w:lang w:eastAsia="en-US"/>
                </w:rPr>
                <w:t>Arts. 86 a</w:t>
              </w:r>
            </w:hyperlink>
            <w:r w:rsidRPr="00F352D3">
              <w:rPr>
                <w:rFonts w:asciiTheme="minorHAnsi" w:eastAsiaTheme="minorHAnsi" w:hAnsiTheme="minorHAnsi" w:cstheme="minorBidi"/>
                <w:sz w:val="22"/>
                <w:szCs w:val="22"/>
                <w:lang w:eastAsia="en-US"/>
              </w:rPr>
              <w:t xml:space="preserve"> 88)</w:t>
            </w:r>
          </w:p>
        </w:tc>
        <w:tc>
          <w:tcPr>
            <w:tcW w:w="3582" w:type="dxa"/>
            <w:tcBorders>
              <w:top w:val="single" w:sz="6" w:space="0" w:color="CCCCCC"/>
              <w:left w:val="single" w:sz="6" w:space="0" w:color="CCCCCC"/>
              <w:bottom w:val="single" w:sz="6" w:space="0" w:color="CCCCCC"/>
              <w:right w:val="single" w:sz="6" w:space="0" w:color="CCCCCC"/>
            </w:tcBorders>
            <w:tcMar>
              <w:top w:w="77" w:type="dxa"/>
              <w:left w:w="77" w:type="dxa"/>
              <w:bottom w:w="77" w:type="dxa"/>
              <w:right w:w="77" w:type="dxa"/>
            </w:tcMar>
            <w:vAlign w:val="center"/>
            <w:hideMark/>
          </w:tcPr>
          <w:p w14:paraId="584F00C3" w14:textId="77777777" w:rsidR="005F4B5F" w:rsidRPr="00F352D3" w:rsidRDefault="005F4B5F" w:rsidP="00D41212">
            <w:pPr>
              <w:spacing w:after="200" w:line="276" w:lineRule="auto"/>
              <w:rPr>
                <w:rFonts w:asciiTheme="minorHAnsi" w:eastAsiaTheme="minorHAnsi" w:hAnsiTheme="minorHAnsi" w:cstheme="minorBidi"/>
                <w:lang w:eastAsia="en-US"/>
              </w:rPr>
            </w:pPr>
          </w:p>
        </w:tc>
      </w:tr>
      <w:tr w:rsidR="005F4B5F" w:rsidRPr="00F352D3" w14:paraId="39FF37F3" w14:textId="77777777" w:rsidTr="00D41212">
        <w:trP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61E8C5F5"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SOLVENCIA ECONÓMICA Y FINANCIERA:</w:t>
            </w:r>
          </w:p>
        </w:tc>
      </w:tr>
      <w:tr w:rsidR="005F4B5F" w:rsidRPr="00F352D3" w14:paraId="466E9D37" w14:textId="77777777" w:rsidTr="00D41212">
        <w:trP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0F1226FE"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Estar al corriente de las obligaciones con Hacienda y Seguridad Social, mediante Certificaciones de los Organismos respectivos.</w:t>
            </w:r>
          </w:p>
        </w:tc>
      </w:tr>
      <w:tr w:rsidR="005F4B5F" w:rsidRPr="00F352D3" w14:paraId="2A9505E6" w14:textId="77777777" w:rsidTr="00D41212">
        <w:trP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1C9210A3"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Verdana" w:eastAsiaTheme="minorHAnsi" w:hAnsi="Verdana" w:cstheme="minorBidi"/>
                <w:color w:val="333333"/>
                <w:sz w:val="19"/>
                <w:szCs w:val="19"/>
                <w:lang w:eastAsia="en-US"/>
              </w:rPr>
              <w:t>Justificante de la existencia de un seguro de responsabilidad civil por riesgos profesionales por importe igual o superior al exigido en el anuncio de licitación</w:t>
            </w:r>
          </w:p>
        </w:tc>
      </w:tr>
      <w:tr w:rsidR="005F4B5F" w:rsidRPr="00F352D3" w14:paraId="2B5E43E8" w14:textId="77777777" w:rsidTr="00D41212">
        <w:trP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32100360"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SOLVENCIA TÉCNICA (</w:t>
            </w:r>
            <w:hyperlink r:id="rId6" w:anchor="I631');" w:tooltip="enlace" w:history="1">
              <w:r w:rsidRPr="00F352D3">
                <w:rPr>
                  <w:rFonts w:asciiTheme="minorHAnsi" w:eastAsiaTheme="minorHAnsi" w:hAnsiTheme="minorHAnsi" w:cstheme="minorBidi"/>
                  <w:sz w:val="22"/>
                  <w:szCs w:val="22"/>
                  <w:lang w:eastAsia="en-US"/>
                </w:rPr>
                <w:t>ART. 88 LCSP 2017</w:t>
              </w:r>
            </w:hyperlink>
            <w:r w:rsidRPr="00F352D3">
              <w:rPr>
                <w:rFonts w:asciiTheme="minorHAnsi" w:eastAsiaTheme="minorHAnsi" w:hAnsiTheme="minorHAnsi" w:cstheme="minorBidi"/>
                <w:sz w:val="22"/>
                <w:szCs w:val="22"/>
                <w:lang w:eastAsia="en-US"/>
              </w:rPr>
              <w:t>):</w:t>
            </w:r>
          </w:p>
        </w:tc>
      </w:tr>
      <w:tr w:rsidR="005F4B5F" w:rsidRPr="00F352D3" w14:paraId="5119DD96" w14:textId="77777777" w:rsidTr="00D41212">
        <w:trP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5A5FE070" w14:textId="77777777" w:rsidR="005F4B5F" w:rsidRPr="00F352D3" w:rsidRDefault="005F4B5F" w:rsidP="00D41212">
            <w:pPr>
              <w:spacing w:before="180" w:after="180"/>
              <w:jc w:val="both"/>
              <w:rPr>
                <w:rFonts w:ascii="Verdana" w:hAnsi="Verdana"/>
                <w:color w:val="333333"/>
                <w:sz w:val="19"/>
                <w:szCs w:val="19"/>
              </w:rPr>
            </w:pPr>
            <w:r w:rsidRPr="00F352D3">
              <w:rPr>
                <w:rFonts w:ascii="Verdana" w:hAnsi="Verdana"/>
                <w:color w:val="333333"/>
                <w:sz w:val="19"/>
                <w:szCs w:val="19"/>
              </w:rPr>
              <w:t>Declaración indicando el personal técnico u organismos técnicos, estén o no integrados en la empresa, de los que esta disponga para la ejecución de las obras acompañada de los documentos acreditativos correspondientes cuando le sea requerido por los servicios dependientes del órgano de contratación.</w:t>
            </w:r>
          </w:p>
          <w:p w14:paraId="2B321BA1" w14:textId="77777777" w:rsidR="005F4B5F" w:rsidRPr="00F352D3" w:rsidRDefault="005F4B5F" w:rsidP="00D41212">
            <w:pPr>
              <w:spacing w:before="180" w:after="180"/>
              <w:jc w:val="both"/>
              <w:rPr>
                <w:rFonts w:ascii="Verdana" w:hAnsi="Verdana"/>
                <w:color w:val="333333"/>
                <w:sz w:val="19"/>
                <w:szCs w:val="19"/>
              </w:rPr>
            </w:pPr>
            <w:r w:rsidRPr="00F352D3">
              <w:rPr>
                <w:rFonts w:ascii="Verdana" w:hAnsi="Verdana"/>
                <w:color w:val="333333"/>
                <w:sz w:val="19"/>
                <w:szCs w:val="19"/>
              </w:rPr>
              <w:t>Títulos académicos y profesionales del empresario y de los directivos de la empresa y, en particular, del responsable o responsables de las obras así como de los técnicos encargados directamente de la misma, siempre que no se evalúen como un criterio de adjudicación.</w:t>
            </w:r>
          </w:p>
          <w:p w14:paraId="3C5ABB64" w14:textId="77777777" w:rsidR="005F4B5F" w:rsidRPr="00F352D3" w:rsidRDefault="005F4B5F" w:rsidP="00D41212">
            <w:pPr>
              <w:spacing w:before="180" w:after="180"/>
              <w:jc w:val="both"/>
              <w:rPr>
                <w:rFonts w:ascii="Verdana" w:hAnsi="Verdana"/>
                <w:color w:val="333333"/>
                <w:sz w:val="19"/>
                <w:szCs w:val="19"/>
              </w:rPr>
            </w:pPr>
            <w:r w:rsidRPr="00F352D3">
              <w:rPr>
                <w:rFonts w:ascii="Verdana" w:hAnsi="Verdana"/>
                <w:color w:val="333333"/>
                <w:sz w:val="19"/>
                <w:szCs w:val="19"/>
              </w:rPr>
              <w:t>En los casos adecuados, indicación de las medidas de gestión medioambiental que el empresario podrá aplicar al ejecutar el contrato.</w:t>
            </w:r>
          </w:p>
          <w:p w14:paraId="7FD3C53D" w14:textId="77777777" w:rsidR="005F4B5F" w:rsidRPr="00F352D3" w:rsidRDefault="005F4B5F" w:rsidP="00D41212">
            <w:pPr>
              <w:spacing w:before="180" w:after="180"/>
              <w:jc w:val="both"/>
              <w:rPr>
                <w:rFonts w:ascii="Verdana" w:hAnsi="Verdana"/>
                <w:color w:val="333333"/>
                <w:sz w:val="19"/>
                <w:szCs w:val="19"/>
              </w:rPr>
            </w:pPr>
            <w:r w:rsidRPr="00F352D3">
              <w:rPr>
                <w:rFonts w:ascii="Verdana" w:hAnsi="Verdana"/>
                <w:color w:val="333333"/>
                <w:sz w:val="19"/>
                <w:szCs w:val="19"/>
              </w:rPr>
              <w:t>Declaración sobre la plantilla media anual de la empresa y del número de directivos durante los tres últimos años, acompañada de la documentación justificativa correspondiente cuando le sea requerido por los servicios dependientes del órgano de contratación.</w:t>
            </w:r>
          </w:p>
          <w:p w14:paraId="7A42B429" w14:textId="77777777" w:rsidR="005F4B5F" w:rsidRPr="00F352D3" w:rsidRDefault="005F4B5F" w:rsidP="00D41212">
            <w:pPr>
              <w:spacing w:before="180" w:after="180"/>
              <w:jc w:val="both"/>
              <w:rPr>
                <w:rFonts w:ascii="Verdana" w:hAnsi="Verdana"/>
                <w:color w:val="333333"/>
                <w:sz w:val="19"/>
                <w:szCs w:val="19"/>
              </w:rPr>
            </w:pPr>
            <w:r w:rsidRPr="00F352D3">
              <w:rPr>
                <w:rFonts w:ascii="Verdana" w:hAnsi="Verdana"/>
                <w:color w:val="333333"/>
                <w:sz w:val="19"/>
                <w:szCs w:val="19"/>
              </w:rPr>
              <w:t xml:space="preserve">Declaración indicando la maquinaria, material y equipo técnico del que se dispondrá para la ejecución de las obras, a la que se adjuntará la documentación acreditativa </w:t>
            </w:r>
            <w:r w:rsidRPr="00F352D3">
              <w:rPr>
                <w:rFonts w:ascii="Verdana" w:hAnsi="Verdana"/>
                <w:color w:val="333333"/>
                <w:sz w:val="19"/>
                <w:szCs w:val="19"/>
              </w:rPr>
              <w:lastRenderedPageBreak/>
              <w:t>pertinente cuando le sea requerido por los servicios dependientes del órgano de contratación</w:t>
            </w:r>
          </w:p>
          <w:p w14:paraId="6C068499" w14:textId="77777777" w:rsidR="005F4B5F" w:rsidRPr="00F352D3" w:rsidRDefault="005F4B5F" w:rsidP="00D41212">
            <w:pPr>
              <w:spacing w:after="200" w:line="276" w:lineRule="auto"/>
              <w:rPr>
                <w:rFonts w:asciiTheme="minorHAnsi" w:eastAsiaTheme="minorHAnsi" w:hAnsiTheme="minorHAnsi" w:cstheme="minorBidi"/>
                <w:lang w:eastAsia="en-US"/>
              </w:rPr>
            </w:pPr>
          </w:p>
        </w:tc>
      </w:tr>
      <w:tr w:rsidR="005F4B5F" w:rsidRPr="00F352D3" w14:paraId="5E538B0F" w14:textId="77777777" w:rsidTr="00D41212">
        <w:trPr>
          <w:tblCellSpacing w:w="15" w:type="dxa"/>
        </w:trPr>
        <w:tc>
          <w:tcPr>
            <w:tcW w:w="5076"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6856B502"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lastRenderedPageBreak/>
              <w:t xml:space="preserve">ESPAÑA Y APODRERADOS O REPRESENTANTES INSCRITOS EN EL REGISTRO MERCANTIL </w:t>
            </w:r>
          </w:p>
        </w:tc>
        <w:tc>
          <w:tcPr>
            <w:tcW w:w="3582" w:type="dxa"/>
            <w:tcBorders>
              <w:top w:val="single" w:sz="6" w:space="0" w:color="CCCCCC"/>
              <w:left w:val="single" w:sz="6" w:space="0" w:color="CCCCCC"/>
              <w:bottom w:val="single" w:sz="6" w:space="0" w:color="CCCCCC"/>
              <w:right w:val="single" w:sz="6" w:space="0" w:color="CCCCCC"/>
            </w:tcBorders>
            <w:shd w:val="clear" w:color="auto" w:fill="70AD47" w:themeFill="accent6"/>
            <w:tcMar>
              <w:top w:w="77" w:type="dxa"/>
              <w:left w:w="77" w:type="dxa"/>
              <w:bottom w:w="77" w:type="dxa"/>
              <w:right w:w="77" w:type="dxa"/>
            </w:tcMar>
            <w:vAlign w:val="center"/>
            <w:hideMark/>
          </w:tcPr>
          <w:p w14:paraId="616AEEAF"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SI</w:t>
            </w:r>
          </w:p>
        </w:tc>
      </w:tr>
    </w:tbl>
    <w:p w14:paraId="460AB656"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589"/>
        <w:gridCol w:w="1159"/>
      </w:tblGrid>
      <w:tr w:rsidR="005F4B5F" w:rsidRPr="00F352D3" w14:paraId="74169F21" w14:textId="77777777" w:rsidTr="00D41212">
        <w:trPr>
          <w:tblHeader/>
          <w:tblCellSpacing w:w="15" w:type="dxa"/>
        </w:trPr>
        <w:tc>
          <w:tcPr>
            <w:tcW w:w="6"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2401CCB2"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7.- CLASIFICACIÓN</w:t>
            </w:r>
            <w:hyperlink r:id="rId7" w:history="1"/>
            <w:r w:rsidRPr="00F352D3">
              <w:rPr>
                <w:rFonts w:asciiTheme="minorHAnsi" w:eastAsiaTheme="minorHAnsi" w:hAnsiTheme="minorHAnsi" w:cstheme="minorBidi"/>
                <w:sz w:val="22"/>
                <w:szCs w:val="22"/>
                <w:lang w:eastAsia="en-US"/>
              </w:rPr>
              <w:t>(Cuando el valor estimado sea inferior a 500.000 € la clasificación en el grupo o subgrupo acredita su solvencia económica y financiera y solvencia técnica)</w:t>
            </w:r>
          </w:p>
        </w:tc>
      </w:tr>
      <w:tr w:rsidR="005F4B5F" w:rsidRPr="00F352D3" w14:paraId="317EF6DE"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22E3A65B"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NO ( )</w:t>
            </w:r>
          </w:p>
        </w:tc>
        <w:tc>
          <w:tcPr>
            <w:tcW w:w="6" w:type="dxa"/>
            <w:tcBorders>
              <w:top w:val="single" w:sz="6" w:space="0" w:color="CCCCCC"/>
              <w:left w:val="single" w:sz="6" w:space="0" w:color="CCCCCC"/>
              <w:bottom w:val="single" w:sz="6" w:space="0" w:color="CCCCCC"/>
              <w:right w:val="single" w:sz="6" w:space="0" w:color="CCCCCC"/>
            </w:tcBorders>
            <w:tcMar>
              <w:top w:w="77" w:type="dxa"/>
              <w:left w:w="77" w:type="dxa"/>
              <w:bottom w:w="77" w:type="dxa"/>
              <w:right w:w="77" w:type="dxa"/>
            </w:tcMar>
            <w:vAlign w:val="center"/>
            <w:hideMark/>
          </w:tcPr>
          <w:p w14:paraId="1271C428" w14:textId="77777777" w:rsidR="005F4B5F" w:rsidRPr="00F352D3" w:rsidRDefault="005F4B5F" w:rsidP="00D41212">
            <w:pPr>
              <w:spacing w:after="200" w:line="276" w:lineRule="auto"/>
              <w:rPr>
                <w:rFonts w:asciiTheme="minorHAnsi" w:eastAsiaTheme="minorHAnsi" w:hAnsiTheme="minorHAnsi" w:cstheme="minorBidi"/>
                <w:lang w:eastAsia="en-US"/>
              </w:rPr>
            </w:pPr>
          </w:p>
        </w:tc>
      </w:tr>
      <w:tr w:rsidR="005F4B5F" w:rsidRPr="00F352D3" w14:paraId="0311C76A"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6ED16F4C"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GRUPO:</w:t>
            </w:r>
          </w:p>
        </w:tc>
        <w:tc>
          <w:tcPr>
            <w:tcW w:w="6" w:type="dxa"/>
            <w:tcBorders>
              <w:top w:val="single" w:sz="6" w:space="0" w:color="CCCCCC"/>
              <w:left w:val="single" w:sz="6" w:space="0" w:color="CCCCCC"/>
              <w:bottom w:val="single" w:sz="6" w:space="0" w:color="CCCCCC"/>
              <w:right w:val="single" w:sz="6" w:space="0" w:color="CCCCCC"/>
            </w:tcBorders>
            <w:shd w:val="clear" w:color="auto" w:fill="FFC000"/>
            <w:tcMar>
              <w:top w:w="77" w:type="dxa"/>
              <w:left w:w="77" w:type="dxa"/>
              <w:bottom w:w="77" w:type="dxa"/>
              <w:right w:w="77" w:type="dxa"/>
            </w:tcMar>
            <w:vAlign w:val="center"/>
            <w:hideMark/>
          </w:tcPr>
          <w:p w14:paraId="73A7AFD7" w14:textId="77777777" w:rsidR="005F4B5F" w:rsidRPr="00F352D3" w:rsidRDefault="005F4B5F" w:rsidP="00D41212">
            <w:pPr>
              <w:spacing w:after="200" w:line="276" w:lineRule="auto"/>
              <w:rPr>
                <w:rFonts w:asciiTheme="minorHAnsi" w:eastAsiaTheme="minorHAnsi" w:hAnsiTheme="minorHAnsi" w:cstheme="minorBidi"/>
                <w:lang w:eastAsia="en-US"/>
              </w:rPr>
            </w:pPr>
          </w:p>
        </w:tc>
      </w:tr>
      <w:tr w:rsidR="005F4B5F" w:rsidRPr="00F352D3" w14:paraId="553F227E"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5C1BEE2B"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SUBGRUPO </w:t>
            </w:r>
          </w:p>
        </w:tc>
        <w:tc>
          <w:tcPr>
            <w:tcW w:w="6"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368CDE76" w14:textId="77777777" w:rsidR="005F4B5F" w:rsidRPr="00F352D3" w:rsidRDefault="005F4B5F" w:rsidP="00D41212">
            <w:pPr>
              <w:spacing w:after="200" w:line="276" w:lineRule="auto"/>
              <w:rPr>
                <w:rFonts w:asciiTheme="minorHAnsi" w:eastAsiaTheme="minorHAnsi" w:hAnsiTheme="minorHAnsi" w:cstheme="minorBidi"/>
                <w:lang w:eastAsia="en-US"/>
              </w:rPr>
            </w:pPr>
          </w:p>
        </w:tc>
      </w:tr>
      <w:tr w:rsidR="005F4B5F" w:rsidRPr="00F352D3" w14:paraId="3E7E7C3C"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721B1C81"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CATEGORÍA:</w:t>
            </w:r>
          </w:p>
        </w:tc>
        <w:tc>
          <w:tcPr>
            <w:tcW w:w="6" w:type="dxa"/>
            <w:tcBorders>
              <w:top w:val="single" w:sz="6" w:space="0" w:color="CCCCCC"/>
              <w:left w:val="single" w:sz="6" w:space="0" w:color="CCCCCC"/>
              <w:bottom w:val="single" w:sz="6" w:space="0" w:color="CCCCCC"/>
              <w:right w:val="single" w:sz="6" w:space="0" w:color="CCCCCC"/>
            </w:tcBorders>
            <w:shd w:val="clear" w:color="auto" w:fill="70AD47" w:themeFill="accent6"/>
            <w:tcMar>
              <w:top w:w="77" w:type="dxa"/>
              <w:left w:w="77" w:type="dxa"/>
              <w:bottom w:w="77" w:type="dxa"/>
              <w:right w:w="77" w:type="dxa"/>
            </w:tcMar>
            <w:vAlign w:val="center"/>
            <w:hideMark/>
          </w:tcPr>
          <w:p w14:paraId="15216DD0" w14:textId="77777777" w:rsidR="005F4B5F" w:rsidRPr="00F352D3" w:rsidRDefault="005F4B5F" w:rsidP="00D41212">
            <w:pPr>
              <w:spacing w:after="200" w:line="276" w:lineRule="auto"/>
              <w:rPr>
                <w:rFonts w:asciiTheme="minorHAnsi" w:eastAsiaTheme="minorHAnsi" w:hAnsiTheme="minorHAnsi" w:cstheme="minorBidi"/>
                <w:lang w:eastAsia="en-US"/>
              </w:rPr>
            </w:pPr>
          </w:p>
        </w:tc>
      </w:tr>
    </w:tbl>
    <w:p w14:paraId="1570E211"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245"/>
        <w:gridCol w:w="4503"/>
      </w:tblGrid>
      <w:tr w:rsidR="005F4B5F" w:rsidRPr="00F352D3" w14:paraId="7D5CEF26" w14:textId="77777777" w:rsidTr="00D41212">
        <w:trPr>
          <w:tblHeade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269D589B"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8.- GARANTÍAS</w:t>
            </w:r>
          </w:p>
        </w:tc>
      </w:tr>
      <w:tr w:rsidR="005F4B5F" w:rsidRPr="00F352D3" w14:paraId="0FC3111A" w14:textId="77777777" w:rsidTr="00D41212">
        <w:trP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714F7186"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DEFINITIV (5 por 100 del precio final ofertado por aquellos, excluido el IVA)</w:t>
            </w:r>
          </w:p>
        </w:tc>
      </w:tr>
      <w:tr w:rsidR="005F4B5F" w:rsidRPr="00F352D3" w14:paraId="283BB17D" w14:textId="77777777" w:rsidTr="00D41212">
        <w:trPr>
          <w:tblCellSpacing w:w="15" w:type="dxa"/>
        </w:trPr>
        <w:tc>
          <w:tcPr>
            <w:tcW w:w="4200"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4973C9D1"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Exención</w:t>
            </w:r>
          </w:p>
        </w:tc>
        <w:tc>
          <w:tcPr>
            <w:tcW w:w="4458"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7A1239AE"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NO </w:t>
            </w:r>
          </w:p>
        </w:tc>
      </w:tr>
      <w:tr w:rsidR="005F4B5F" w:rsidRPr="00F352D3" w14:paraId="78578183" w14:textId="77777777" w:rsidTr="00D41212">
        <w:trPr>
          <w:tblCellSpacing w:w="15" w:type="dxa"/>
        </w:trPr>
        <w:tc>
          <w:tcPr>
            <w:tcW w:w="4200"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1514C3D5"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ACREDITACIÓN POR MEDIOS ELECTRÓNICOS, INFORMÁTICOS O TELEMÁTICOS:</w:t>
            </w:r>
          </w:p>
        </w:tc>
        <w:tc>
          <w:tcPr>
            <w:tcW w:w="4458"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58A9776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NO</w:t>
            </w:r>
          </w:p>
        </w:tc>
      </w:tr>
    </w:tbl>
    <w:p w14:paraId="50107487"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32"/>
        <w:gridCol w:w="3616"/>
      </w:tblGrid>
      <w:tr w:rsidR="005F4B5F" w:rsidRPr="00F352D3" w14:paraId="6D300DFB" w14:textId="77777777" w:rsidTr="00D41212">
        <w:trPr>
          <w:tblHeade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2253354A"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9.- CRITERIOS DE ADJUDICACIÓN Y DE DESEMPATE</w:t>
            </w:r>
          </w:p>
        </w:tc>
      </w:tr>
      <w:tr w:rsidR="005F4B5F" w:rsidRPr="00F352D3" w14:paraId="6234DE5B" w14:textId="77777777" w:rsidTr="00D41212">
        <w:trP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67953591"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CRITERIOS DE ADJUDICACIÓN:</w:t>
            </w:r>
          </w:p>
        </w:tc>
      </w:tr>
      <w:tr w:rsidR="005F4B5F" w:rsidRPr="00F352D3" w14:paraId="38FD7F1B" w14:textId="77777777" w:rsidTr="00D41212">
        <w:trPr>
          <w:tblCellSpacing w:w="15" w:type="dxa"/>
        </w:trPr>
        <w:tc>
          <w:tcPr>
            <w:tcW w:w="5087"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21432B5E"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Coste del ciclo de vida:</w:t>
            </w:r>
          </w:p>
        </w:tc>
        <w:tc>
          <w:tcPr>
            <w:tcW w:w="3571"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28E3749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NO </w:t>
            </w:r>
          </w:p>
        </w:tc>
      </w:tr>
      <w:tr w:rsidR="005F4B5F" w:rsidRPr="00F352D3" w14:paraId="099BB45E" w14:textId="77777777" w:rsidTr="00D41212">
        <w:trPr>
          <w:tblCellSpacing w:w="15" w:type="dxa"/>
        </w:trPr>
        <w:tc>
          <w:tcPr>
            <w:tcW w:w="5087"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70020101"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lastRenderedPageBreak/>
              <w:t>PRECIO</w:t>
            </w:r>
          </w:p>
        </w:tc>
        <w:tc>
          <w:tcPr>
            <w:tcW w:w="3571"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17ED672C" w14:textId="77777777" w:rsidR="005F4B5F" w:rsidRPr="00F352D3" w:rsidRDefault="003A598F" w:rsidP="00D41212">
            <w:pPr>
              <w:spacing w:after="200" w:line="276" w:lineRule="auto"/>
              <w:rPr>
                <w:rFonts w:asciiTheme="minorHAnsi" w:eastAsiaTheme="minorHAnsi" w:hAnsiTheme="minorHAnsi" w:cstheme="minorBidi"/>
                <w:lang w:eastAsia="en-US"/>
              </w:rPr>
            </w:pPr>
            <w:r>
              <w:rPr>
                <w:rFonts w:asciiTheme="minorHAnsi" w:eastAsiaTheme="minorHAnsi" w:hAnsiTheme="minorHAnsi" w:cstheme="minorBidi"/>
                <w:sz w:val="22"/>
                <w:szCs w:val="22"/>
                <w:lang w:eastAsia="en-US"/>
              </w:rPr>
              <w:t>75 PUNTOS EL PRIMERO BAJANDO 10 PUNTOS EL SEGUNDO, OTROS 10</w:t>
            </w:r>
            <w:r w:rsidR="005F4B5F" w:rsidRPr="00F352D3">
              <w:rPr>
                <w:rFonts w:asciiTheme="minorHAnsi" w:eastAsiaTheme="minorHAnsi" w:hAnsiTheme="minorHAnsi" w:cstheme="minorBidi"/>
                <w:sz w:val="22"/>
                <w:szCs w:val="22"/>
                <w:lang w:eastAsia="en-US"/>
              </w:rPr>
              <w:t xml:space="preserve"> EL TERCERO Y ASI SUCESIVAMENTE</w:t>
            </w:r>
          </w:p>
        </w:tc>
      </w:tr>
      <w:tr w:rsidR="005F4B5F" w:rsidRPr="00F352D3" w14:paraId="3BAD363A" w14:textId="77777777" w:rsidTr="00D41212">
        <w:trPr>
          <w:tblCellSpacing w:w="15" w:type="dxa"/>
        </w:trPr>
        <w:tc>
          <w:tcPr>
            <w:tcW w:w="5087"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35632229" w14:textId="77777777" w:rsidR="005F4B5F" w:rsidRPr="003A598F" w:rsidRDefault="003A598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MAYOR PLAZO DE GARANTIA</w:t>
            </w:r>
          </w:p>
        </w:tc>
        <w:tc>
          <w:tcPr>
            <w:tcW w:w="3571"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37225896"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20 PUNTOS  EL PRIMERO BAJANDO 5 PUNTOS EL SEGUNDO, OTROS CINCO EL TERCERO Y ASI SUCESIVAMENTE</w:t>
            </w:r>
          </w:p>
        </w:tc>
      </w:tr>
      <w:tr w:rsidR="005F4B5F" w:rsidRPr="00F352D3" w14:paraId="7D50B597" w14:textId="77777777" w:rsidTr="00D41212">
        <w:trPr>
          <w:tblCellSpacing w:w="15" w:type="dxa"/>
        </w:trPr>
        <w:tc>
          <w:tcPr>
            <w:tcW w:w="5087"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7F0630B3" w14:textId="77777777" w:rsidR="003A598F" w:rsidRPr="00F352D3" w:rsidRDefault="003A598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MENOR PLAZO DE EJECUCIÓN</w:t>
            </w:r>
          </w:p>
        </w:tc>
        <w:tc>
          <w:tcPr>
            <w:tcW w:w="3571"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2B8736DE"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5 PUNTOS SOLO PARA EL PRIMERO</w:t>
            </w:r>
          </w:p>
        </w:tc>
      </w:tr>
      <w:tr w:rsidR="005F4B5F" w:rsidRPr="00F352D3" w14:paraId="4655C63A" w14:textId="77777777" w:rsidTr="00D41212">
        <w:trP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1C5364FC"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CRITERIOS DE DESEMPATE se aplican los previstos en el </w:t>
            </w:r>
            <w:hyperlink r:id="rId8" w:anchor="I1089');" w:tooltip="enlace" w:history="1">
              <w:r w:rsidRPr="00F352D3">
                <w:rPr>
                  <w:rFonts w:asciiTheme="minorHAnsi" w:eastAsiaTheme="minorHAnsi" w:hAnsiTheme="minorHAnsi" w:cstheme="minorBidi"/>
                  <w:sz w:val="22"/>
                  <w:szCs w:val="22"/>
                  <w:lang w:eastAsia="en-US"/>
                </w:rPr>
                <w:t>art. 147.2 LCSP 2017</w:t>
              </w:r>
            </w:hyperlink>
            <w:r w:rsidRPr="00F352D3">
              <w:rPr>
                <w:rFonts w:asciiTheme="minorHAnsi" w:eastAsiaTheme="minorHAnsi" w:hAnsiTheme="minorHAnsi" w:cstheme="minorBidi"/>
                <w:sz w:val="22"/>
                <w:szCs w:val="22"/>
                <w:lang w:eastAsia="en-US"/>
              </w:rPr>
              <w:t>) y art 14 del Pliego:</w:t>
            </w:r>
          </w:p>
        </w:tc>
      </w:tr>
      <w:tr w:rsidR="005F4B5F" w:rsidRPr="00F352D3" w14:paraId="0754D5BE" w14:textId="77777777" w:rsidTr="00D41212">
        <w:trPr>
          <w:tblCellSpacing w:w="15" w:type="dxa"/>
        </w:trPr>
        <w:tc>
          <w:tcPr>
            <w:tcW w:w="5087"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63A27F20"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Admisión de certificados electrónicos, informáticos o telemáticos sobre documentación a presentar para la adjudicación:</w:t>
            </w:r>
          </w:p>
        </w:tc>
        <w:tc>
          <w:tcPr>
            <w:tcW w:w="3571" w:type="dxa"/>
            <w:tcBorders>
              <w:top w:val="single" w:sz="6" w:space="0" w:color="CCCCCC"/>
              <w:left w:val="single" w:sz="6" w:space="0" w:color="CCCCCC"/>
              <w:bottom w:val="single" w:sz="6" w:space="0" w:color="CCCCCC"/>
              <w:right w:val="single" w:sz="6" w:space="0" w:color="CCCCCC"/>
            </w:tcBorders>
            <w:shd w:val="clear" w:color="auto" w:fill="FFC000"/>
            <w:tcMar>
              <w:top w:w="77" w:type="dxa"/>
              <w:left w:w="77" w:type="dxa"/>
              <w:bottom w:w="77" w:type="dxa"/>
              <w:right w:w="77" w:type="dxa"/>
            </w:tcMar>
            <w:vAlign w:val="center"/>
            <w:hideMark/>
          </w:tcPr>
          <w:p w14:paraId="6BF3E994"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NO </w:t>
            </w:r>
          </w:p>
        </w:tc>
      </w:tr>
    </w:tbl>
    <w:p w14:paraId="5C98A0FB"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12" w:type="pct"/>
        <w:tblCellSpacing w:w="15" w:type="dxa"/>
        <w:tblCellMar>
          <w:top w:w="15" w:type="dxa"/>
          <w:left w:w="15" w:type="dxa"/>
          <w:bottom w:w="15" w:type="dxa"/>
          <w:right w:w="15" w:type="dxa"/>
        </w:tblCellMar>
        <w:tblLook w:val="04A0" w:firstRow="1" w:lastRow="0" w:firstColumn="1" w:lastColumn="0" w:noHBand="0" w:noVBand="1"/>
      </w:tblPr>
      <w:tblGrid>
        <w:gridCol w:w="8769"/>
      </w:tblGrid>
      <w:tr w:rsidR="005F4B5F" w:rsidRPr="00F352D3" w14:paraId="3C16B1F2" w14:textId="77777777" w:rsidTr="00D41212">
        <w:trPr>
          <w:tblHeader/>
          <w:tblCellSpacing w:w="15" w:type="dxa"/>
        </w:trPr>
        <w:tc>
          <w:tcPr>
            <w:tcW w:w="8709" w:type="dxa"/>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6664978C"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10.- PRESENTACIÓN PROPOSICIONES</w:t>
            </w:r>
          </w:p>
        </w:tc>
      </w:tr>
      <w:tr w:rsidR="005F4B5F" w:rsidRPr="00F352D3" w14:paraId="45291023" w14:textId="77777777" w:rsidTr="00D41212">
        <w:trPr>
          <w:tblCellSpacing w:w="15" w:type="dxa"/>
        </w:trPr>
        <w:tc>
          <w:tcPr>
            <w:tcW w:w="8709"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4DB573D2"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PLAZO 20 DIAS</w:t>
            </w:r>
          </w:p>
        </w:tc>
      </w:tr>
      <w:tr w:rsidR="005F4B5F" w:rsidRPr="00F352D3" w14:paraId="0209E8EB" w14:textId="77777777" w:rsidTr="00D41212">
        <w:trPr>
          <w:tblCellSpacing w:w="15" w:type="dxa"/>
        </w:trPr>
        <w:tc>
          <w:tcPr>
            <w:tcW w:w="8709"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535CE82E"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PRESENTACIÓN ELECTRÓNICA NO </w:t>
            </w:r>
          </w:p>
          <w:p w14:paraId="2E4401E8"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motivación CLAUSULA 15 DEL pliego DE CONDICIONES</w:t>
            </w:r>
          </w:p>
        </w:tc>
      </w:tr>
      <w:tr w:rsidR="005F4B5F" w:rsidRPr="00F352D3" w14:paraId="185B17CA" w14:textId="77777777" w:rsidTr="00D41212">
        <w:trPr>
          <w:trHeight w:val="537"/>
          <w:tblCellSpacing w:w="15" w:type="dxa"/>
        </w:trPr>
        <w:tc>
          <w:tcPr>
            <w:tcW w:w="8709" w:type="dxa"/>
            <w:vMerge w:val="restart"/>
            <w:tcBorders>
              <w:top w:val="single" w:sz="6" w:space="0" w:color="CCCCCC"/>
              <w:left w:val="single" w:sz="6" w:space="0" w:color="CCCCCC"/>
              <w:bottom w:val="single" w:sz="6" w:space="0" w:color="CCCCCC"/>
              <w:right w:val="single" w:sz="6" w:space="0" w:color="CCCCCC"/>
            </w:tcBorders>
            <w:shd w:val="clear" w:color="auto" w:fill="FFC000"/>
            <w:tcMar>
              <w:top w:w="77" w:type="dxa"/>
              <w:left w:w="77" w:type="dxa"/>
              <w:bottom w:w="77" w:type="dxa"/>
              <w:right w:w="77" w:type="dxa"/>
            </w:tcMar>
            <w:vAlign w:val="center"/>
            <w:hideMark/>
          </w:tcPr>
          <w:p w14:paraId="5139255C"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PLAZO DE ADJUDICACIÓN:          5 días después de la remisión de la propuesta de adjudicación</w:t>
            </w:r>
          </w:p>
        </w:tc>
      </w:tr>
      <w:tr w:rsidR="005F4B5F" w:rsidRPr="00F352D3" w14:paraId="62A9D5A3" w14:textId="77777777" w:rsidTr="00D41212">
        <w:trPr>
          <w:trHeight w:val="537"/>
          <w:tblCellSpacing w:w="15" w:type="dxa"/>
        </w:trPr>
        <w:tc>
          <w:tcPr>
            <w:tcW w:w="8709" w:type="dxa"/>
            <w:vMerge/>
            <w:tcBorders>
              <w:left w:val="single" w:sz="6" w:space="0" w:color="CCCCCC"/>
              <w:bottom w:val="single" w:sz="6" w:space="0" w:color="CCCCCC"/>
              <w:right w:val="single" w:sz="6" w:space="0" w:color="CCCCCC"/>
            </w:tcBorders>
            <w:shd w:val="clear" w:color="auto" w:fill="FFC000"/>
            <w:vAlign w:val="center"/>
            <w:hideMark/>
          </w:tcPr>
          <w:p w14:paraId="79AC50EF" w14:textId="77777777" w:rsidR="005F4B5F" w:rsidRPr="00F352D3" w:rsidRDefault="005F4B5F" w:rsidP="00D41212">
            <w:pPr>
              <w:spacing w:after="200" w:line="276" w:lineRule="auto"/>
              <w:rPr>
                <w:rFonts w:asciiTheme="minorHAnsi" w:eastAsiaTheme="minorHAnsi" w:hAnsiTheme="minorHAnsi" w:cstheme="minorBidi"/>
                <w:lang w:eastAsia="en-US"/>
              </w:rPr>
            </w:pPr>
          </w:p>
        </w:tc>
      </w:tr>
      <w:tr w:rsidR="005F4B5F" w:rsidRPr="00F352D3" w14:paraId="45C566DC" w14:textId="77777777" w:rsidTr="00D41212">
        <w:trPr>
          <w:trHeight w:val="537"/>
          <w:tblCellSpacing w:w="15" w:type="dxa"/>
        </w:trPr>
        <w:tc>
          <w:tcPr>
            <w:tcW w:w="8709" w:type="dxa"/>
            <w:vMerge/>
            <w:tcBorders>
              <w:left w:val="single" w:sz="6" w:space="0" w:color="CCCCCC"/>
              <w:bottom w:val="single" w:sz="6" w:space="0" w:color="CCCCCC"/>
              <w:right w:val="single" w:sz="6" w:space="0" w:color="CCCCCC"/>
            </w:tcBorders>
            <w:shd w:val="clear" w:color="auto" w:fill="FFC000"/>
            <w:vAlign w:val="center"/>
            <w:hideMark/>
          </w:tcPr>
          <w:p w14:paraId="2875AEF3" w14:textId="77777777" w:rsidR="005F4B5F" w:rsidRPr="00F352D3" w:rsidRDefault="005F4B5F" w:rsidP="00D41212">
            <w:pPr>
              <w:spacing w:after="200" w:line="276" w:lineRule="auto"/>
              <w:rPr>
                <w:rFonts w:asciiTheme="minorHAnsi" w:eastAsiaTheme="minorHAnsi" w:hAnsiTheme="minorHAnsi" w:cstheme="minorBidi"/>
                <w:lang w:eastAsia="en-US"/>
              </w:rPr>
            </w:pPr>
          </w:p>
        </w:tc>
      </w:tr>
    </w:tbl>
    <w:p w14:paraId="4107E3CF"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79"/>
        <w:gridCol w:w="3469"/>
      </w:tblGrid>
      <w:tr w:rsidR="005F4B5F" w:rsidRPr="00F352D3" w14:paraId="398D8A13" w14:textId="77777777" w:rsidTr="00D41212">
        <w:trPr>
          <w:tblHeade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66BB4687"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11.- INFORMACIÓN ADICIONAL</w:t>
            </w:r>
          </w:p>
        </w:tc>
      </w:tr>
      <w:tr w:rsidR="005F4B5F" w:rsidRPr="00F352D3" w14:paraId="39156D7B" w14:textId="77777777" w:rsidTr="00D41212">
        <w:trPr>
          <w:tblCellSpacing w:w="15" w:type="dxa"/>
        </w:trPr>
        <w:tc>
          <w:tcPr>
            <w:tcW w:w="5234"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05F6DD5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PLAZO DE SOLICITUD DE INFORMACIÓN ADICIONAL:</w:t>
            </w:r>
          </w:p>
        </w:tc>
        <w:tc>
          <w:tcPr>
            <w:tcW w:w="3424"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6A96DFD2"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3 DÍAS</w:t>
            </w:r>
          </w:p>
        </w:tc>
      </w:tr>
      <w:tr w:rsidR="005F4B5F" w:rsidRPr="00F352D3" w14:paraId="042E7F26" w14:textId="77777777" w:rsidTr="00D41212">
        <w:trPr>
          <w:tblCellSpacing w:w="15" w:type="dxa"/>
        </w:trPr>
        <w:tc>
          <w:tcPr>
            <w:tcW w:w="5234"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0615DAA2"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lastRenderedPageBreak/>
              <w:t>RESPUESTAS CARÁCTER VINCULANTE:</w:t>
            </w:r>
          </w:p>
        </w:tc>
        <w:tc>
          <w:tcPr>
            <w:tcW w:w="3424" w:type="dxa"/>
            <w:tcBorders>
              <w:top w:val="single" w:sz="6" w:space="0" w:color="CCCCCC"/>
              <w:left w:val="single" w:sz="6" w:space="0" w:color="CCCCCC"/>
              <w:bottom w:val="single" w:sz="6" w:space="0" w:color="CCCCCC"/>
              <w:right w:val="single" w:sz="6" w:space="0" w:color="CCCCCC"/>
            </w:tcBorders>
            <w:shd w:val="clear" w:color="auto" w:fill="E2EFD9" w:themeFill="accent6" w:themeFillTint="33"/>
            <w:tcMar>
              <w:top w:w="77" w:type="dxa"/>
              <w:left w:w="77" w:type="dxa"/>
              <w:bottom w:w="77" w:type="dxa"/>
              <w:right w:w="77" w:type="dxa"/>
            </w:tcMar>
            <w:vAlign w:val="center"/>
            <w:hideMark/>
          </w:tcPr>
          <w:p w14:paraId="0F712F41"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NO ( )</w:t>
            </w:r>
          </w:p>
        </w:tc>
      </w:tr>
      <w:tr w:rsidR="005F4B5F" w:rsidRPr="00F352D3" w14:paraId="5B901AAA" w14:textId="77777777" w:rsidTr="00D41212">
        <w:trPr>
          <w:tblCellSpacing w:w="15" w:type="dxa"/>
        </w:trPr>
        <w:tc>
          <w:tcPr>
            <w:tcW w:w="5234"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06D08091"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DIRECCCIÓN DE CORREO ELECTRÓNICO A FECTOS DE NOTIFICACIONES:</w:t>
            </w:r>
          </w:p>
        </w:tc>
        <w:tc>
          <w:tcPr>
            <w:tcW w:w="3424" w:type="dxa"/>
            <w:tcBorders>
              <w:top w:val="single" w:sz="6" w:space="0" w:color="CCCCCC"/>
              <w:left w:val="single" w:sz="6" w:space="0" w:color="CCCCCC"/>
              <w:bottom w:val="single" w:sz="6" w:space="0" w:color="CCCCCC"/>
              <w:right w:val="single" w:sz="6" w:space="0" w:color="CCCCCC"/>
            </w:tcBorders>
            <w:tcMar>
              <w:top w:w="77" w:type="dxa"/>
              <w:left w:w="77" w:type="dxa"/>
              <w:bottom w:w="77" w:type="dxa"/>
              <w:right w:w="77" w:type="dxa"/>
            </w:tcMar>
            <w:vAlign w:val="center"/>
            <w:hideMark/>
          </w:tcPr>
          <w:p w14:paraId="07E0F127" w14:textId="77777777" w:rsidR="005F4B5F" w:rsidRPr="00F352D3" w:rsidRDefault="00BA1FFA" w:rsidP="00BA1FFA">
            <w:pPr>
              <w:spacing w:after="200" w:line="276" w:lineRule="auto"/>
              <w:rPr>
                <w:rFonts w:asciiTheme="minorHAnsi" w:eastAsiaTheme="minorHAnsi" w:hAnsiTheme="minorHAnsi" w:cstheme="minorBidi"/>
                <w:lang w:eastAsia="en-US"/>
              </w:rPr>
            </w:pPr>
            <w:r>
              <w:rPr>
                <w:rFonts w:asciiTheme="minorHAnsi" w:eastAsiaTheme="minorHAnsi" w:hAnsiTheme="minorHAnsi" w:cstheme="minorBidi"/>
                <w:color w:val="0563C1" w:themeColor="hyperlink"/>
                <w:sz w:val="22"/>
                <w:szCs w:val="22"/>
                <w:u w:val="single"/>
                <w:lang w:eastAsia="en-US"/>
              </w:rPr>
              <w:t>aytobustillodelparamo@gmail.com</w:t>
            </w:r>
          </w:p>
        </w:tc>
      </w:tr>
    </w:tbl>
    <w:p w14:paraId="425BE01F"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p w14:paraId="59B1E279"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16"/>
        <w:gridCol w:w="3732"/>
      </w:tblGrid>
      <w:tr w:rsidR="005F4B5F" w:rsidRPr="00F352D3" w14:paraId="6CF9875E" w14:textId="77777777" w:rsidTr="00D41212">
        <w:trPr>
          <w:tblHeade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184A144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12.- INFORMACIÓN DEL CONTRATO CON CARÁCTER CONFIDENCIAL</w:t>
            </w:r>
          </w:p>
        </w:tc>
      </w:tr>
      <w:tr w:rsidR="005F4B5F" w:rsidRPr="00F352D3" w14:paraId="7E873ABB" w14:textId="77777777" w:rsidTr="00D41212">
        <w:trPr>
          <w:tblCellSpacing w:w="15" w:type="dxa"/>
        </w:trPr>
        <w:tc>
          <w:tcPr>
            <w:tcW w:w="4971"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3BCB003C"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INFORMACIÓN:</w:t>
            </w:r>
          </w:p>
        </w:tc>
        <w:tc>
          <w:tcPr>
            <w:tcW w:w="3687"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75D4C49A"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NO</w:t>
            </w:r>
          </w:p>
        </w:tc>
      </w:tr>
    </w:tbl>
    <w:p w14:paraId="24E522A1"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76"/>
        <w:gridCol w:w="3572"/>
      </w:tblGrid>
      <w:tr w:rsidR="005F4B5F" w:rsidRPr="00F352D3" w14:paraId="70281FEA" w14:textId="77777777" w:rsidTr="00D41212">
        <w:trPr>
          <w:tblHeade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056E365C"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13.- GASTOS DE PUBLICIDAD Y OTROS GASTOS</w:t>
            </w:r>
          </w:p>
        </w:tc>
      </w:tr>
      <w:tr w:rsidR="005F4B5F" w:rsidRPr="00F352D3" w14:paraId="2C874F8D" w14:textId="77777777" w:rsidTr="00D41212">
        <w:trPr>
          <w:tblCellSpacing w:w="15" w:type="dxa"/>
        </w:trPr>
        <w:tc>
          <w:tcPr>
            <w:tcW w:w="5131"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4E5D5290"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IMPORTE MAXIMO A ASUMIR POR EL ADJUDICATARIO:</w:t>
            </w:r>
          </w:p>
        </w:tc>
        <w:tc>
          <w:tcPr>
            <w:tcW w:w="3527"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6D353035"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 Los determinados por el BOP</w:t>
            </w:r>
          </w:p>
        </w:tc>
      </w:tr>
      <w:tr w:rsidR="005F4B5F" w:rsidRPr="00F352D3" w14:paraId="3425AA6D" w14:textId="77777777" w:rsidTr="00D41212">
        <w:trPr>
          <w:tblCellSpacing w:w="15" w:type="dxa"/>
        </w:trPr>
        <w:tc>
          <w:tcPr>
            <w:tcW w:w="5131"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5E039615"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GASTOS DE ANÁLISIS Y ENSAYOS:</w:t>
            </w:r>
          </w:p>
        </w:tc>
        <w:tc>
          <w:tcPr>
            <w:tcW w:w="3527" w:type="dxa"/>
            <w:tcBorders>
              <w:top w:val="single" w:sz="6" w:space="0" w:color="CCCCCC"/>
              <w:left w:val="single" w:sz="6" w:space="0" w:color="CCCCCC"/>
              <w:bottom w:val="single" w:sz="6" w:space="0" w:color="CCCCCC"/>
              <w:right w:val="single" w:sz="6" w:space="0" w:color="CCCCCC"/>
            </w:tcBorders>
            <w:shd w:val="clear" w:color="auto" w:fill="70AD47" w:themeFill="accent6"/>
            <w:tcMar>
              <w:top w:w="77" w:type="dxa"/>
              <w:left w:w="77" w:type="dxa"/>
              <w:bottom w:w="77" w:type="dxa"/>
              <w:right w:w="77" w:type="dxa"/>
            </w:tcMar>
            <w:vAlign w:val="center"/>
            <w:hideMark/>
          </w:tcPr>
          <w:p w14:paraId="4AA196DE"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NO</w:t>
            </w:r>
          </w:p>
        </w:tc>
      </w:tr>
    </w:tbl>
    <w:p w14:paraId="2407E108"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80"/>
        <w:gridCol w:w="968"/>
      </w:tblGrid>
      <w:tr w:rsidR="005F4B5F" w:rsidRPr="00F352D3" w14:paraId="79A437C1" w14:textId="77777777" w:rsidTr="00D41212">
        <w:trPr>
          <w:tblHeade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5D50A3AE"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14.- OBLIGACION DE SUBROGACIÓN EN RELACIONES LABORALES EN CUMPLIMIENTO DE LO DISPUESTO EN EL </w:t>
            </w:r>
            <w:hyperlink r:id="rId9" w:anchor="I950');" w:tooltip="enlace" w:history="1">
              <w:r w:rsidRPr="00F352D3">
                <w:rPr>
                  <w:rFonts w:asciiTheme="minorHAnsi" w:eastAsiaTheme="minorHAnsi" w:hAnsiTheme="minorHAnsi" w:cstheme="minorBidi"/>
                  <w:sz w:val="22"/>
                  <w:szCs w:val="22"/>
                  <w:lang w:eastAsia="en-US"/>
                </w:rPr>
                <w:t>ART. 130 LCSP 2017</w:t>
              </w:r>
            </w:hyperlink>
            <w:r w:rsidRPr="00F352D3">
              <w:rPr>
                <w:rFonts w:asciiTheme="minorHAnsi" w:eastAsiaTheme="minorHAnsi" w:hAnsiTheme="minorHAnsi" w:cstheme="minorBidi"/>
                <w:sz w:val="22"/>
                <w:szCs w:val="22"/>
                <w:lang w:eastAsia="en-US"/>
              </w:rPr>
              <w:t>:</w:t>
            </w:r>
          </w:p>
        </w:tc>
      </w:tr>
      <w:tr w:rsidR="005F4B5F" w:rsidRPr="00F352D3" w14:paraId="28AC5D0E" w14:textId="77777777" w:rsidTr="00D41212">
        <w:trPr>
          <w:tblCellSpacing w:w="15" w:type="dxa"/>
        </w:trPr>
        <w:tc>
          <w:tcPr>
            <w:tcW w:w="7735"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2BFBD662"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La Administración, acreditada la falta de pago de los salarios, procederá a la retención de las cantidades debidas al contratista para garantizar su pago, y a la no devolución de la garantía definitiva en tanto no se acredite el abono de éstos):</w:t>
            </w:r>
          </w:p>
        </w:tc>
        <w:tc>
          <w:tcPr>
            <w:tcW w:w="923" w:type="dxa"/>
            <w:tcBorders>
              <w:top w:val="single" w:sz="6" w:space="0" w:color="CCCCCC"/>
              <w:left w:val="single" w:sz="6" w:space="0" w:color="CCCCCC"/>
              <w:bottom w:val="single" w:sz="6" w:space="0" w:color="CCCCCC"/>
              <w:right w:val="single" w:sz="6" w:space="0" w:color="CCCCCC"/>
            </w:tcBorders>
            <w:tcMar>
              <w:top w:w="77" w:type="dxa"/>
              <w:left w:w="77" w:type="dxa"/>
              <w:bottom w:w="77" w:type="dxa"/>
              <w:right w:w="77" w:type="dxa"/>
            </w:tcMar>
            <w:vAlign w:val="center"/>
            <w:hideMark/>
          </w:tcPr>
          <w:p w14:paraId="775C3D66" w14:textId="77777777" w:rsidR="005F4B5F" w:rsidRPr="00F352D3" w:rsidRDefault="005F4B5F" w:rsidP="00D41212">
            <w:pPr>
              <w:spacing w:after="200" w:line="276" w:lineRule="auto"/>
              <w:rPr>
                <w:rFonts w:asciiTheme="minorHAnsi" w:eastAsiaTheme="minorHAnsi" w:hAnsiTheme="minorHAnsi" w:cstheme="minorBidi"/>
                <w:lang w:eastAsia="en-US"/>
              </w:rPr>
            </w:pPr>
          </w:p>
        </w:tc>
      </w:tr>
    </w:tbl>
    <w:p w14:paraId="777AA43F"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120"/>
        <w:gridCol w:w="267"/>
        <w:gridCol w:w="1673"/>
        <w:gridCol w:w="155"/>
        <w:gridCol w:w="2533"/>
      </w:tblGrid>
      <w:tr w:rsidR="005F4B5F" w:rsidRPr="00F352D3" w14:paraId="79D85DA7" w14:textId="77777777" w:rsidTr="00D41212">
        <w:trPr>
          <w:tblHeader/>
          <w:tblCellSpacing w:w="15" w:type="dxa"/>
        </w:trPr>
        <w:tc>
          <w:tcPr>
            <w:tcW w:w="8688" w:type="dxa"/>
            <w:gridSpan w:val="5"/>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36FBEDA3"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15.- CERTIFICACIONES</w:t>
            </w:r>
          </w:p>
        </w:tc>
      </w:tr>
      <w:tr w:rsidR="005F4B5F" w:rsidRPr="00F352D3" w14:paraId="67471183" w14:textId="77777777" w:rsidTr="00D41212">
        <w:trPr>
          <w:tblCellSpacing w:w="15" w:type="dxa"/>
        </w:trPr>
        <w:tc>
          <w:tcPr>
            <w:tcW w:w="8688" w:type="dxa"/>
            <w:gridSpan w:val="5"/>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7C8DCEE5"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RÉGIMEN DE ABONO:</w:t>
            </w:r>
          </w:p>
        </w:tc>
      </w:tr>
      <w:tr w:rsidR="005F4B5F" w:rsidRPr="00F352D3" w14:paraId="50D1D741" w14:textId="77777777" w:rsidTr="00D41212">
        <w:trPr>
          <w:tblCellSpacing w:w="15" w:type="dxa"/>
        </w:trPr>
        <w:tc>
          <w:tcPr>
            <w:tcW w:w="4075"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2C77C534"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Periodicidad del pago:</w:t>
            </w:r>
          </w:p>
        </w:tc>
        <w:tc>
          <w:tcPr>
            <w:tcW w:w="4583" w:type="dxa"/>
            <w:gridSpan w:val="4"/>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09D523FA"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Mensual</w:t>
            </w:r>
          </w:p>
        </w:tc>
      </w:tr>
      <w:tr w:rsidR="005F4B5F" w:rsidRPr="00F352D3" w14:paraId="04A2164E" w14:textId="77777777" w:rsidTr="00D41212">
        <w:trPr>
          <w:tblCellSpacing w:w="15" w:type="dxa"/>
        </w:trPr>
        <w:tc>
          <w:tcPr>
            <w:tcW w:w="4075" w:type="dxa"/>
            <w:tcBorders>
              <w:top w:val="single" w:sz="6" w:space="0" w:color="CCCCCC"/>
              <w:left w:val="single" w:sz="6" w:space="0" w:color="CCCCCC"/>
              <w:bottom w:val="single" w:sz="6" w:space="0" w:color="CCCCCC"/>
              <w:right w:val="single" w:sz="6" w:space="0" w:color="CCCCCC"/>
            </w:tcBorders>
            <w:shd w:val="clear" w:color="auto" w:fill="70AD47" w:themeFill="accent6"/>
            <w:tcMar>
              <w:top w:w="77" w:type="dxa"/>
              <w:left w:w="77" w:type="dxa"/>
              <w:bottom w:w="77" w:type="dxa"/>
              <w:right w:w="77" w:type="dxa"/>
            </w:tcMar>
            <w:vAlign w:val="center"/>
            <w:hideMark/>
          </w:tcPr>
          <w:p w14:paraId="1D3BC39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lastRenderedPageBreak/>
              <w:t xml:space="preserve">- Certificación final </w:t>
            </w:r>
          </w:p>
        </w:tc>
        <w:tc>
          <w:tcPr>
            <w:tcW w:w="1910" w:type="dxa"/>
            <w:gridSpan w:val="2"/>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18CC2033"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SÍ </w:t>
            </w:r>
          </w:p>
        </w:tc>
        <w:tc>
          <w:tcPr>
            <w:tcW w:w="2643" w:type="dxa"/>
            <w:gridSpan w:val="2"/>
            <w:tcBorders>
              <w:top w:val="single" w:sz="6" w:space="0" w:color="CCCCCC"/>
              <w:left w:val="single" w:sz="6" w:space="0" w:color="CCCCCC"/>
              <w:bottom w:val="single" w:sz="6" w:space="0" w:color="CCCCCC"/>
              <w:right w:val="single" w:sz="6" w:space="0" w:color="CCCCCC"/>
            </w:tcBorders>
            <w:tcMar>
              <w:top w:w="77" w:type="dxa"/>
              <w:left w:w="77" w:type="dxa"/>
              <w:bottom w:w="77" w:type="dxa"/>
              <w:right w:w="77" w:type="dxa"/>
            </w:tcMar>
            <w:vAlign w:val="center"/>
            <w:hideMark/>
          </w:tcPr>
          <w:p w14:paraId="69FC06E9" w14:textId="77777777" w:rsidR="005F4B5F" w:rsidRPr="00F352D3" w:rsidRDefault="005F4B5F" w:rsidP="00D41212">
            <w:pPr>
              <w:spacing w:after="200" w:line="276" w:lineRule="auto"/>
              <w:rPr>
                <w:rFonts w:asciiTheme="minorHAnsi" w:eastAsiaTheme="minorHAnsi" w:hAnsiTheme="minorHAnsi" w:cstheme="minorBidi"/>
                <w:lang w:eastAsia="en-US"/>
              </w:rPr>
            </w:pPr>
          </w:p>
        </w:tc>
      </w:tr>
      <w:tr w:rsidR="005F4B5F" w:rsidRPr="00F352D3" w14:paraId="46FF33F8" w14:textId="77777777" w:rsidTr="00D41212">
        <w:trPr>
          <w:tblCellSpacing w:w="15" w:type="dxa"/>
        </w:trPr>
        <w:tc>
          <w:tcPr>
            <w:tcW w:w="8688" w:type="dxa"/>
            <w:gridSpan w:val="5"/>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593E52E6"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DATOS DE FACTURACIÓN:</w:t>
            </w:r>
          </w:p>
        </w:tc>
      </w:tr>
      <w:tr w:rsidR="005F4B5F" w:rsidRPr="00F352D3" w14:paraId="10956F15" w14:textId="77777777" w:rsidTr="00D41212">
        <w:trPr>
          <w:tblCellSpacing w:w="15" w:type="dxa"/>
        </w:trPr>
        <w:tc>
          <w:tcPr>
            <w:tcW w:w="4075"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477998F2"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Entidad contratante:</w:t>
            </w:r>
          </w:p>
        </w:tc>
        <w:tc>
          <w:tcPr>
            <w:tcW w:w="4583" w:type="dxa"/>
            <w:gridSpan w:val="4"/>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1EED4C51"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AYUNTAMIENTO DE BUSTILLO DEL PARAMO</w:t>
            </w:r>
          </w:p>
        </w:tc>
      </w:tr>
      <w:tr w:rsidR="005F4B5F" w:rsidRPr="00F352D3" w14:paraId="4B0DF7C5" w14:textId="77777777" w:rsidTr="00D41212">
        <w:trPr>
          <w:tblCellSpacing w:w="15" w:type="dxa"/>
        </w:trPr>
        <w:tc>
          <w:tcPr>
            <w:tcW w:w="4075"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4FD3402F"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Órgano de contratación:</w:t>
            </w:r>
          </w:p>
        </w:tc>
        <w:tc>
          <w:tcPr>
            <w:tcW w:w="4583" w:type="dxa"/>
            <w:gridSpan w:val="4"/>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765236D1"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PLENO</w:t>
            </w:r>
          </w:p>
        </w:tc>
      </w:tr>
      <w:tr w:rsidR="005F4B5F" w:rsidRPr="00F352D3" w14:paraId="66EE12D1" w14:textId="77777777" w:rsidTr="00D41212">
        <w:trPr>
          <w:tblCellSpacing w:w="15" w:type="dxa"/>
        </w:trPr>
        <w:tc>
          <w:tcPr>
            <w:tcW w:w="4075"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71E7268B"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Órgano administrativo con competencias en materia de contabilidad:</w:t>
            </w:r>
          </w:p>
        </w:tc>
        <w:tc>
          <w:tcPr>
            <w:tcW w:w="4583" w:type="dxa"/>
            <w:gridSpan w:val="4"/>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4BBE8480"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INTERVENCION</w:t>
            </w:r>
          </w:p>
        </w:tc>
      </w:tr>
      <w:tr w:rsidR="005F4B5F" w:rsidRPr="00F352D3" w14:paraId="0C68FF63" w14:textId="77777777" w:rsidTr="00D41212">
        <w:trPr>
          <w:tblHeader/>
          <w:tblCellSpacing w:w="15" w:type="dxa"/>
        </w:trPr>
        <w:tc>
          <w:tcPr>
            <w:tcW w:w="8688" w:type="dxa"/>
            <w:gridSpan w:val="5"/>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5654C07A"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16- REVISIÓN DE PRECIOS</w:t>
            </w:r>
          </w:p>
        </w:tc>
      </w:tr>
      <w:tr w:rsidR="005F4B5F" w:rsidRPr="00F352D3" w14:paraId="3F9B8B14" w14:textId="77777777" w:rsidTr="00D41212">
        <w:trPr>
          <w:tblCellSpacing w:w="15" w:type="dxa"/>
        </w:trPr>
        <w:tc>
          <w:tcPr>
            <w:tcW w:w="4342" w:type="dxa"/>
            <w:gridSpan w:val="2"/>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331A1E21"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PROCEDE:</w:t>
            </w:r>
          </w:p>
        </w:tc>
        <w:tc>
          <w:tcPr>
            <w:tcW w:w="1798" w:type="dxa"/>
            <w:gridSpan w:val="2"/>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0C02B56D" w14:textId="77777777" w:rsidR="005F4B5F" w:rsidRPr="00F352D3" w:rsidRDefault="005F4B5F" w:rsidP="00D41212">
            <w:pPr>
              <w:spacing w:after="200" w:line="276" w:lineRule="auto"/>
              <w:rPr>
                <w:rFonts w:asciiTheme="minorHAnsi" w:eastAsiaTheme="minorHAnsi" w:hAnsiTheme="minorHAnsi" w:cstheme="minorBidi"/>
                <w:lang w:eastAsia="en-US"/>
              </w:rPr>
            </w:pPr>
          </w:p>
        </w:tc>
        <w:tc>
          <w:tcPr>
            <w:tcW w:w="2488"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5EF6DD7A"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NO </w:t>
            </w:r>
          </w:p>
        </w:tc>
      </w:tr>
    </w:tbl>
    <w:p w14:paraId="4D335E79"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bookmarkStart w:id="0" w:name="_Hlk53047917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10"/>
        <w:gridCol w:w="4438"/>
      </w:tblGrid>
      <w:tr w:rsidR="005F4B5F" w:rsidRPr="00F352D3" w14:paraId="3BB6D1C8" w14:textId="77777777" w:rsidTr="00D41212">
        <w:trPr>
          <w:tblHeader/>
          <w:tblCellSpacing w:w="15" w:type="dxa"/>
        </w:trPr>
        <w:tc>
          <w:tcPr>
            <w:tcW w:w="6"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46BC2A7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17.- PLAZO DE EJECUCIÓN</w:t>
            </w:r>
          </w:p>
        </w:tc>
      </w:tr>
      <w:tr w:rsidR="005F4B5F" w:rsidRPr="00F352D3" w14:paraId="51E6910C"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6F9AAD5C"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SÍ </w:t>
            </w:r>
          </w:p>
        </w:tc>
        <w:tc>
          <w:tcPr>
            <w:tcW w:w="6"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1BF99C1C" w14:textId="77777777" w:rsidR="005F4B5F" w:rsidRPr="00F352D3" w:rsidRDefault="005F4B5F" w:rsidP="00D41212">
            <w:pPr>
              <w:spacing w:after="200" w:line="276" w:lineRule="auto"/>
              <w:rPr>
                <w:rFonts w:asciiTheme="minorHAnsi" w:eastAsiaTheme="minorHAnsi" w:hAnsiTheme="minorHAnsi" w:cstheme="minorBidi"/>
                <w:lang w:eastAsia="en-US"/>
              </w:rPr>
            </w:pPr>
          </w:p>
        </w:tc>
      </w:tr>
      <w:tr w:rsidR="005F4B5F" w:rsidRPr="00F352D3" w14:paraId="4AE74238"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15576004"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PLAZO </w:t>
            </w:r>
          </w:p>
        </w:tc>
        <w:tc>
          <w:tcPr>
            <w:tcW w:w="6"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540B2715" w14:textId="09071633" w:rsidR="005F4B5F" w:rsidRPr="00F352D3" w:rsidRDefault="003543E6" w:rsidP="00D41212">
            <w:pPr>
              <w:spacing w:after="200" w:line="276" w:lineRule="auto"/>
              <w:rPr>
                <w:rFonts w:asciiTheme="minorHAnsi" w:eastAsiaTheme="minorHAnsi" w:hAnsiTheme="minorHAnsi" w:cstheme="minorBidi"/>
                <w:lang w:eastAsia="en-US"/>
              </w:rPr>
            </w:pPr>
            <w:r>
              <w:rPr>
                <w:rFonts w:asciiTheme="minorHAnsi" w:eastAsiaTheme="minorHAnsi" w:hAnsiTheme="minorHAnsi" w:cstheme="minorBidi"/>
                <w:sz w:val="22"/>
                <w:szCs w:val="22"/>
                <w:lang w:eastAsia="en-US"/>
              </w:rPr>
              <w:t>DOS</w:t>
            </w:r>
            <w:r w:rsidR="005F4B5F" w:rsidRPr="00F352D3">
              <w:rPr>
                <w:rFonts w:asciiTheme="minorHAnsi" w:eastAsiaTheme="minorHAnsi" w:hAnsiTheme="minorHAnsi" w:cstheme="minorBidi"/>
                <w:sz w:val="22"/>
                <w:szCs w:val="22"/>
                <w:lang w:eastAsia="en-US"/>
              </w:rPr>
              <w:t xml:space="preserve"> MES</w:t>
            </w:r>
            <w:r>
              <w:rPr>
                <w:rFonts w:asciiTheme="minorHAnsi" w:eastAsiaTheme="minorHAnsi" w:hAnsiTheme="minorHAnsi" w:cstheme="minorBidi"/>
                <w:sz w:val="22"/>
                <w:szCs w:val="22"/>
                <w:lang w:eastAsia="en-US"/>
              </w:rPr>
              <w:t>ES</w:t>
            </w:r>
          </w:p>
        </w:tc>
      </w:tr>
      <w:bookmarkEnd w:id="0"/>
    </w:tbl>
    <w:p w14:paraId="24E44645"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06"/>
        <w:gridCol w:w="3842"/>
      </w:tblGrid>
      <w:tr w:rsidR="005F4B5F" w:rsidRPr="00F352D3" w14:paraId="1C462039" w14:textId="77777777" w:rsidTr="00D41212">
        <w:trPr>
          <w:tblHeader/>
          <w:tblCellSpacing w:w="15" w:type="dxa"/>
        </w:trPr>
        <w:tc>
          <w:tcPr>
            <w:tcW w:w="6"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64689C6E"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17 BIS.- PLAZO GARANTÍA</w:t>
            </w:r>
          </w:p>
        </w:tc>
      </w:tr>
      <w:tr w:rsidR="005F4B5F" w:rsidRPr="00F352D3" w14:paraId="67F19EED"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494EF2A3"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SÍ </w:t>
            </w:r>
          </w:p>
        </w:tc>
        <w:tc>
          <w:tcPr>
            <w:tcW w:w="6"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74BF3F70" w14:textId="77777777" w:rsidR="005F4B5F" w:rsidRPr="00F352D3" w:rsidRDefault="005F4B5F" w:rsidP="00D41212">
            <w:pPr>
              <w:spacing w:after="200" w:line="276" w:lineRule="auto"/>
              <w:rPr>
                <w:rFonts w:asciiTheme="minorHAnsi" w:eastAsiaTheme="minorHAnsi" w:hAnsiTheme="minorHAnsi" w:cstheme="minorBidi"/>
                <w:lang w:eastAsia="en-US"/>
              </w:rPr>
            </w:pPr>
          </w:p>
        </w:tc>
      </w:tr>
      <w:tr w:rsidR="005F4B5F" w:rsidRPr="00F352D3" w14:paraId="2B1657C2"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3B6AD206"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PLAZO </w:t>
            </w:r>
          </w:p>
        </w:tc>
        <w:tc>
          <w:tcPr>
            <w:tcW w:w="6"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0C08078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1 AÑO</w:t>
            </w:r>
          </w:p>
        </w:tc>
      </w:tr>
    </w:tbl>
    <w:p w14:paraId="13317569"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76"/>
        <w:gridCol w:w="4072"/>
      </w:tblGrid>
      <w:tr w:rsidR="005F4B5F" w:rsidRPr="00F352D3" w14:paraId="0F50BC9B" w14:textId="77777777" w:rsidTr="00D41212">
        <w:trPr>
          <w:tblHeade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6B71FF01"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18.- SUBCONTRATACIÓN</w:t>
            </w:r>
          </w:p>
        </w:tc>
      </w:tr>
      <w:tr w:rsidR="005F4B5F" w:rsidRPr="00F352D3" w14:paraId="50B81422" w14:textId="77777777" w:rsidTr="00D41212">
        <w:trPr>
          <w:tblCellSpacing w:w="15" w:type="dxa"/>
        </w:trPr>
        <w:tc>
          <w:tcPr>
            <w:tcW w:w="4631"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276047DF"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 xml:space="preserve">SÍ </w:t>
            </w:r>
          </w:p>
        </w:tc>
        <w:tc>
          <w:tcPr>
            <w:tcW w:w="4027" w:type="dxa"/>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33B20D61" w14:textId="77777777" w:rsidR="005F4B5F" w:rsidRPr="00F352D3" w:rsidRDefault="005F4B5F" w:rsidP="00D41212">
            <w:pPr>
              <w:spacing w:after="200" w:line="276" w:lineRule="auto"/>
              <w:rPr>
                <w:rFonts w:asciiTheme="minorHAnsi" w:eastAsiaTheme="minorHAnsi" w:hAnsiTheme="minorHAnsi" w:cstheme="minorBidi"/>
                <w:lang w:eastAsia="en-US"/>
              </w:rPr>
            </w:pPr>
          </w:p>
        </w:tc>
      </w:tr>
      <w:tr w:rsidR="005F4B5F" w:rsidRPr="00F352D3" w14:paraId="7698327F" w14:textId="77777777" w:rsidTr="00D41212">
        <w:trPr>
          <w:tblCellSpacing w:w="15" w:type="dxa"/>
        </w:trPr>
        <w:tc>
          <w:tcPr>
            <w:tcW w:w="4631"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40E94AA5"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lastRenderedPageBreak/>
              <w:t>PENALIDADES:</w:t>
            </w:r>
          </w:p>
        </w:tc>
        <w:tc>
          <w:tcPr>
            <w:tcW w:w="4027"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50E1842A"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Las mismas que al contratista</w:t>
            </w:r>
          </w:p>
        </w:tc>
      </w:tr>
    </w:tbl>
    <w:p w14:paraId="47D619EA"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64"/>
        <w:gridCol w:w="3684"/>
      </w:tblGrid>
      <w:tr w:rsidR="005F4B5F" w:rsidRPr="00F352D3" w14:paraId="346D55B3" w14:textId="77777777" w:rsidTr="00D41212">
        <w:trPr>
          <w:tblHeade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7BACEF82"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19.- CESIÓN DEL CONTRATO</w:t>
            </w:r>
          </w:p>
        </w:tc>
      </w:tr>
      <w:tr w:rsidR="005F4B5F" w:rsidRPr="00F352D3" w14:paraId="254E76A3" w14:textId="77777777" w:rsidTr="00D41212">
        <w:trP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00B050"/>
            <w:tcMar>
              <w:top w:w="77" w:type="dxa"/>
              <w:left w:w="77" w:type="dxa"/>
              <w:bottom w:w="77" w:type="dxa"/>
              <w:right w:w="77" w:type="dxa"/>
            </w:tcMar>
            <w:vAlign w:val="center"/>
            <w:hideMark/>
          </w:tcPr>
          <w:p w14:paraId="617D7716"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No</w:t>
            </w:r>
          </w:p>
        </w:tc>
      </w:tr>
      <w:tr w:rsidR="005F4B5F" w:rsidRPr="00F352D3" w14:paraId="3FD1334C" w14:textId="77777777" w:rsidTr="00D41212">
        <w:trPr>
          <w:tblCellSpacing w:w="15" w:type="dxa"/>
        </w:trPr>
        <w:tc>
          <w:tcPr>
            <w:tcW w:w="8688" w:type="dxa"/>
            <w:gridSpan w:val="2"/>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4E2A176B"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MODIFICACIONES PREVISTAS:</w:t>
            </w:r>
          </w:p>
        </w:tc>
      </w:tr>
      <w:tr w:rsidR="005F4B5F" w:rsidRPr="00F352D3" w14:paraId="280C13F9" w14:textId="77777777" w:rsidTr="00D41212">
        <w:trPr>
          <w:tblCellSpacing w:w="15" w:type="dxa"/>
        </w:trPr>
        <w:tc>
          <w:tcPr>
            <w:tcW w:w="5019"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57A9B2C4"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SÍ ( )</w:t>
            </w:r>
          </w:p>
        </w:tc>
        <w:tc>
          <w:tcPr>
            <w:tcW w:w="3639"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243BDFF9"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Máximo 20%)</w:t>
            </w:r>
          </w:p>
        </w:tc>
      </w:tr>
    </w:tbl>
    <w:p w14:paraId="7266F9FE"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01"/>
        <w:gridCol w:w="2847"/>
      </w:tblGrid>
      <w:tr w:rsidR="005F4B5F" w:rsidRPr="00F352D3" w14:paraId="2CAF99A0" w14:textId="77777777" w:rsidTr="00D41212">
        <w:trPr>
          <w:tblHeader/>
          <w:tblCellSpacing w:w="15" w:type="dxa"/>
        </w:trPr>
        <w:tc>
          <w:tcPr>
            <w:tcW w:w="6"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73916A80"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20.- PENALIDADES POR</w:t>
            </w:r>
          </w:p>
        </w:tc>
      </w:tr>
      <w:tr w:rsidR="005F4B5F" w:rsidRPr="00F352D3" w14:paraId="027A3A8F"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67A562F8"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INCUMPLIMIENTO DE LA OBLIGACIÓN DE SUMINISTRO DE INFORMACIÓN EN CASO DE SUBROGACIÓN EN LAS RELACIONES LABORALES:</w:t>
            </w:r>
          </w:p>
        </w:tc>
        <w:tc>
          <w:tcPr>
            <w:tcW w:w="6"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4ED2A7BF"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5% del precio del contrato</w:t>
            </w:r>
          </w:p>
        </w:tc>
      </w:tr>
      <w:tr w:rsidR="005F4B5F" w:rsidRPr="00F352D3" w14:paraId="3980B429"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26253034"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INCUMPLIMIENTO DE LAS CONDICIONES ESPECIALES DE EJECUCIÓN:</w:t>
            </w:r>
          </w:p>
        </w:tc>
        <w:tc>
          <w:tcPr>
            <w:tcW w:w="6"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7BB713D4"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5% del precio del contrato</w:t>
            </w:r>
          </w:p>
        </w:tc>
      </w:tr>
      <w:tr w:rsidR="005F4B5F" w:rsidRPr="00F352D3" w14:paraId="5A43F814"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198C6462"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INCUMPLIMIENTO DEL COMPROMISO DE ADSCRIPCIÓN DE MEDIOS:</w:t>
            </w:r>
          </w:p>
        </w:tc>
        <w:tc>
          <w:tcPr>
            <w:tcW w:w="6"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39F3D520"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5% del precio del contrato</w:t>
            </w:r>
          </w:p>
        </w:tc>
      </w:tr>
      <w:tr w:rsidR="005F4B5F" w:rsidRPr="00F352D3" w14:paraId="2D672D12"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7C90EDBB"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INCUMPLIMIENTOS DE LAS CONDICIONES DE PAGO A SUBCONTRATISTAS O SUMINISTRADORES:</w:t>
            </w:r>
          </w:p>
        </w:tc>
        <w:tc>
          <w:tcPr>
            <w:tcW w:w="6"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5EFD104C"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5% del precio del contrato</w:t>
            </w:r>
          </w:p>
        </w:tc>
      </w:tr>
      <w:tr w:rsidR="005F4B5F" w:rsidRPr="00F352D3" w14:paraId="25478C6A"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6A38CFDF"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DEMORA EN LA EJECUCIÓN:</w:t>
            </w:r>
          </w:p>
        </w:tc>
        <w:tc>
          <w:tcPr>
            <w:tcW w:w="6"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208B9107"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0;60€ por cada 1.000 euros del contrato</w:t>
            </w:r>
          </w:p>
        </w:tc>
      </w:tr>
      <w:tr w:rsidR="005F4B5F" w:rsidRPr="00F352D3" w14:paraId="5AC489A8"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44E2944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OTROS INCUMPLIMIENTOS:</w:t>
            </w:r>
          </w:p>
        </w:tc>
        <w:tc>
          <w:tcPr>
            <w:tcW w:w="6"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436026FD"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5% del precio del contrato</w:t>
            </w:r>
          </w:p>
        </w:tc>
      </w:tr>
    </w:tbl>
    <w:p w14:paraId="40E1D264"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449"/>
        <w:gridCol w:w="2299"/>
      </w:tblGrid>
      <w:tr w:rsidR="005F4B5F" w:rsidRPr="00F352D3" w14:paraId="6AF03E73" w14:textId="77777777" w:rsidTr="00D41212">
        <w:trPr>
          <w:tblHeader/>
          <w:tblCellSpacing w:w="15" w:type="dxa"/>
        </w:trPr>
        <w:tc>
          <w:tcPr>
            <w:tcW w:w="6" w:type="dxa"/>
            <w:gridSpan w:val="2"/>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3251106F"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21.- SUSPENSION DEL CONTRATO</w:t>
            </w:r>
          </w:p>
        </w:tc>
      </w:tr>
      <w:tr w:rsidR="005F4B5F" w:rsidRPr="00F352D3" w14:paraId="0B731330" w14:textId="77777777" w:rsidTr="00D41212">
        <w:trPr>
          <w:tblCellSpacing w:w="15" w:type="dxa"/>
        </w:trPr>
        <w:tc>
          <w:tcPr>
            <w:tcW w:w="6" w:type="dxa"/>
            <w:tcBorders>
              <w:top w:val="single" w:sz="6" w:space="0" w:color="CCCCCC"/>
              <w:left w:val="single" w:sz="6" w:space="0" w:color="CCCCCC"/>
              <w:bottom w:val="single" w:sz="6" w:space="0" w:color="CCCCCC"/>
              <w:right w:val="single" w:sz="6" w:space="0" w:color="CCCCCC"/>
            </w:tcBorders>
            <w:shd w:val="clear" w:color="auto" w:fill="00B0F0"/>
            <w:tcMar>
              <w:top w:w="77" w:type="dxa"/>
              <w:left w:w="77" w:type="dxa"/>
              <w:bottom w:w="77" w:type="dxa"/>
              <w:right w:w="77" w:type="dxa"/>
            </w:tcMar>
            <w:vAlign w:val="center"/>
            <w:hideMark/>
          </w:tcPr>
          <w:p w14:paraId="1D98B099"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lastRenderedPageBreak/>
              <w:t xml:space="preserve">DAÑOS Y PERJUICIOS A ABONAR AL CONTRATITA DIFERENTES A LO ESTALECIDO EN EL 210 de la </w:t>
            </w:r>
            <w:hyperlink r:id="rId10" w:tooltip="enlace" w:history="1">
              <w:r w:rsidRPr="00F352D3">
                <w:rPr>
                  <w:rFonts w:asciiTheme="minorHAnsi" w:eastAsiaTheme="minorHAnsi" w:hAnsiTheme="minorHAnsi" w:cstheme="minorBidi"/>
                  <w:sz w:val="22"/>
                  <w:szCs w:val="22"/>
                  <w:lang w:eastAsia="en-US"/>
                </w:rPr>
                <w:t>LCSP 2017</w:t>
              </w:r>
            </w:hyperlink>
            <w:r w:rsidRPr="00F352D3">
              <w:rPr>
                <w:rFonts w:asciiTheme="minorHAnsi" w:eastAsiaTheme="minorHAnsi" w:hAnsiTheme="minorHAnsi" w:cstheme="minorBidi"/>
                <w:sz w:val="22"/>
                <w:szCs w:val="22"/>
                <w:lang w:eastAsia="en-US"/>
              </w:rPr>
              <w:t>:</w:t>
            </w:r>
          </w:p>
        </w:tc>
        <w:tc>
          <w:tcPr>
            <w:tcW w:w="6" w:type="dxa"/>
            <w:tcBorders>
              <w:top w:val="single" w:sz="6" w:space="0" w:color="CCCCCC"/>
              <w:left w:val="single" w:sz="6" w:space="0" w:color="CCCCCC"/>
              <w:bottom w:val="single" w:sz="6" w:space="0" w:color="CCCCCC"/>
              <w:right w:val="single" w:sz="6" w:space="0" w:color="CCCCCC"/>
            </w:tcBorders>
            <w:shd w:val="clear" w:color="auto" w:fill="FFFF00"/>
            <w:tcMar>
              <w:top w:w="77" w:type="dxa"/>
              <w:left w:w="77" w:type="dxa"/>
              <w:bottom w:w="77" w:type="dxa"/>
              <w:right w:w="77" w:type="dxa"/>
            </w:tcMar>
            <w:vAlign w:val="center"/>
            <w:hideMark/>
          </w:tcPr>
          <w:p w14:paraId="05BBA9F0"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NO</w:t>
            </w:r>
          </w:p>
        </w:tc>
      </w:tr>
    </w:tbl>
    <w:p w14:paraId="58B3D85A" w14:textId="77777777" w:rsidR="005F4B5F" w:rsidRPr="00F352D3" w:rsidRDefault="005F4B5F" w:rsidP="005F4B5F">
      <w:pPr>
        <w:spacing w:after="200" w:line="276" w:lineRule="auto"/>
        <w:rPr>
          <w:rFonts w:asciiTheme="minorHAnsi" w:eastAsiaTheme="minorHAnsi" w:hAnsiTheme="minorHAnsi" w:cstheme="minorBidi"/>
          <w:sz w:val="22"/>
          <w:szCs w:val="22"/>
          <w:lang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748"/>
      </w:tblGrid>
      <w:tr w:rsidR="005F4B5F" w:rsidRPr="00F352D3" w14:paraId="6FCA1373" w14:textId="77777777" w:rsidTr="00D41212">
        <w:trPr>
          <w:tblHeader/>
          <w:tblCellSpacing w:w="15" w:type="dxa"/>
        </w:trPr>
        <w:tc>
          <w:tcPr>
            <w:tcW w:w="8688" w:type="dxa"/>
            <w:tcBorders>
              <w:top w:val="single" w:sz="6" w:space="0" w:color="CCCCCC"/>
              <w:left w:val="single" w:sz="6" w:space="0" w:color="CCCCCC"/>
              <w:bottom w:val="single" w:sz="6" w:space="0" w:color="CCCCCC"/>
              <w:right w:val="single" w:sz="6" w:space="0" w:color="CCCCCC"/>
            </w:tcBorders>
            <w:shd w:val="clear" w:color="auto" w:fill="FF0000"/>
            <w:tcMar>
              <w:top w:w="77" w:type="dxa"/>
              <w:left w:w="77" w:type="dxa"/>
              <w:bottom w:w="77" w:type="dxa"/>
              <w:right w:w="77" w:type="dxa"/>
            </w:tcMar>
            <w:vAlign w:val="center"/>
            <w:hideMark/>
          </w:tcPr>
          <w:p w14:paraId="067FCC37"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22.- OBLIGACIONES ESENCIALES CUYO INCUMPLIMIENTO ES CAUSA DE RESOLUCIÓN</w:t>
            </w:r>
          </w:p>
        </w:tc>
      </w:tr>
      <w:tr w:rsidR="005F4B5F" w:rsidRPr="00F352D3" w14:paraId="10B49625" w14:textId="77777777" w:rsidTr="00D41212">
        <w:trPr>
          <w:tblCellSpacing w:w="15" w:type="dxa"/>
        </w:trPr>
        <w:tc>
          <w:tcPr>
            <w:tcW w:w="868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365908D5"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LAS CONTEMPLADAS EN EL ARTÍCULO 211 Y EN ESPECIAL EL RETRASO INJUSTIFICADO SOBRE EL PROGRAMA Y PLAN DE TRABAJO Y 245 DE LA LCSP:</w:t>
            </w:r>
          </w:p>
        </w:tc>
      </w:tr>
      <w:tr w:rsidR="005F4B5F" w:rsidRPr="00F352D3" w14:paraId="7FA37F84" w14:textId="77777777" w:rsidTr="00D41212">
        <w:trPr>
          <w:tblCellSpacing w:w="15" w:type="dxa"/>
        </w:trPr>
        <w:tc>
          <w:tcPr>
            <w:tcW w:w="868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7AF0B6D8"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CUANDO LAS PENALIDADES ALCANCEN UN MÚLTIPLO DEL 5 POR 100 DEL CONTRATO, IVA EXCLUIDO SIN PERJUICIO DE ACORDAR SU CONTINUIDAD:</w:t>
            </w:r>
          </w:p>
        </w:tc>
      </w:tr>
      <w:tr w:rsidR="005F4B5F" w:rsidRPr="00F352D3" w14:paraId="7F0703B5" w14:textId="77777777" w:rsidTr="00D41212">
        <w:trPr>
          <w:tblCellSpacing w:w="15" w:type="dxa"/>
        </w:trPr>
        <w:tc>
          <w:tcPr>
            <w:tcW w:w="8688" w:type="dxa"/>
            <w:tcBorders>
              <w:top w:val="single" w:sz="6" w:space="0" w:color="CCCCCC"/>
              <w:left w:val="single" w:sz="6" w:space="0" w:color="CCCCCC"/>
              <w:bottom w:val="single" w:sz="6" w:space="0" w:color="CCCCCC"/>
              <w:right w:val="single" w:sz="6" w:space="0" w:color="CCCCCC"/>
            </w:tcBorders>
            <w:shd w:val="clear" w:color="auto" w:fill="92D050"/>
            <w:tcMar>
              <w:top w:w="77" w:type="dxa"/>
              <w:left w:w="77" w:type="dxa"/>
              <w:bottom w:w="77" w:type="dxa"/>
              <w:right w:w="77" w:type="dxa"/>
            </w:tcMar>
            <w:vAlign w:val="center"/>
            <w:hideMark/>
          </w:tcPr>
          <w:p w14:paraId="3E5FDF51" w14:textId="77777777" w:rsidR="005F4B5F" w:rsidRPr="00F352D3" w:rsidRDefault="005F4B5F" w:rsidP="00D41212">
            <w:pPr>
              <w:spacing w:after="200" w:line="276" w:lineRule="auto"/>
              <w:rPr>
                <w:rFonts w:asciiTheme="minorHAnsi" w:eastAsiaTheme="minorHAnsi" w:hAnsiTheme="minorHAnsi" w:cstheme="minorBidi"/>
                <w:lang w:eastAsia="en-US"/>
              </w:rPr>
            </w:pPr>
            <w:r w:rsidRPr="00F352D3">
              <w:rPr>
                <w:rFonts w:asciiTheme="minorHAnsi" w:eastAsiaTheme="minorHAnsi" w:hAnsiTheme="minorHAnsi" w:cstheme="minorBidi"/>
                <w:sz w:val="22"/>
                <w:szCs w:val="22"/>
                <w:lang w:eastAsia="en-US"/>
              </w:rPr>
              <w:t>POR INCUMPLIMIENTO DE PLAZOS PARCIALES:</w:t>
            </w:r>
          </w:p>
        </w:tc>
      </w:tr>
    </w:tbl>
    <w:p w14:paraId="4B263C6D" w14:textId="77777777" w:rsidR="005F4B5F" w:rsidRPr="00F352D3" w:rsidRDefault="005F4B5F" w:rsidP="005F4B5F">
      <w:pPr>
        <w:spacing w:line="288" w:lineRule="atLeast"/>
        <w:jc w:val="center"/>
        <w:outlineLvl w:val="2"/>
        <w:rPr>
          <w:rFonts w:ascii="Trebuchet MS" w:hAnsi="Trebuchet MS"/>
          <w:b/>
          <w:bCs/>
          <w:color w:val="0091DA"/>
          <w:sz w:val="34"/>
          <w:szCs w:val="34"/>
        </w:rPr>
      </w:pPr>
    </w:p>
    <w:p w14:paraId="14E8FD3D" w14:textId="77777777" w:rsidR="005F4B5F" w:rsidRPr="00F352D3" w:rsidRDefault="005F4B5F" w:rsidP="005F4B5F">
      <w:pPr>
        <w:spacing w:line="288" w:lineRule="atLeast"/>
        <w:jc w:val="center"/>
        <w:outlineLvl w:val="2"/>
        <w:rPr>
          <w:rFonts w:ascii="Trebuchet MS" w:hAnsi="Trebuchet MS"/>
          <w:b/>
          <w:bCs/>
          <w:color w:val="0091DA"/>
          <w:sz w:val="34"/>
          <w:szCs w:val="34"/>
        </w:rPr>
      </w:pPr>
      <w:r w:rsidRPr="00F352D3">
        <w:rPr>
          <w:rFonts w:ascii="Trebuchet MS" w:hAnsi="Trebuchet MS"/>
          <w:b/>
          <w:bCs/>
          <w:color w:val="0091DA"/>
          <w:sz w:val="34"/>
          <w:szCs w:val="34"/>
        </w:rPr>
        <w:t>Índice del Pliego de Cláusulas Administrativas Particulares. Procedimiento abierto simplificado</w:t>
      </w:r>
    </w:p>
    <w:p w14:paraId="4947C641" w14:textId="77777777" w:rsidR="005F4B5F" w:rsidRPr="00F352D3" w:rsidRDefault="005F4B5F" w:rsidP="005F4B5F">
      <w:pPr>
        <w:spacing w:before="460" w:line="360" w:lineRule="atLeast"/>
        <w:jc w:val="center"/>
        <w:rPr>
          <w:rFonts w:ascii="Trebuchet MS" w:hAnsi="Trebuchet MS"/>
          <w:b/>
          <w:bCs/>
          <w:color w:val="E91C8A"/>
          <w:sz w:val="26"/>
          <w:szCs w:val="26"/>
        </w:rPr>
      </w:pPr>
      <w:r w:rsidRPr="00F352D3">
        <w:rPr>
          <w:rFonts w:ascii="Trebuchet MS" w:hAnsi="Trebuchet MS"/>
          <w:b/>
          <w:bCs/>
          <w:color w:val="E91C8A"/>
          <w:sz w:val="26"/>
          <w:szCs w:val="26"/>
        </w:rPr>
        <w:t>DISPOSICIONES GENERALES</w:t>
      </w:r>
    </w:p>
    <w:p w14:paraId="618D952F" w14:textId="77777777" w:rsidR="005F4B5F" w:rsidRPr="00F352D3" w:rsidRDefault="005F4B5F" w:rsidP="005F4B5F">
      <w:pPr>
        <w:numPr>
          <w:ilvl w:val="0"/>
          <w:numId w:val="8"/>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1.- Régimen jurídico</w:t>
      </w:r>
    </w:p>
    <w:p w14:paraId="0FA129A8" w14:textId="77777777" w:rsidR="005F4B5F" w:rsidRPr="00F352D3" w:rsidRDefault="005F4B5F" w:rsidP="005F4B5F">
      <w:pPr>
        <w:numPr>
          <w:ilvl w:val="0"/>
          <w:numId w:val="8"/>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2.- Procedimiento de adjudicación y forma de tramitación del expediente</w:t>
      </w:r>
    </w:p>
    <w:p w14:paraId="34C7D5FE" w14:textId="77777777" w:rsidR="005F4B5F" w:rsidRPr="00F352D3" w:rsidRDefault="005F4B5F" w:rsidP="005F4B5F">
      <w:pPr>
        <w:numPr>
          <w:ilvl w:val="0"/>
          <w:numId w:val="8"/>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3.- Necesidad e idoneidad del contrato y eficiencia en la contratación</w:t>
      </w:r>
    </w:p>
    <w:p w14:paraId="71694172" w14:textId="77777777" w:rsidR="005F4B5F" w:rsidRPr="00F352D3" w:rsidRDefault="005F4B5F" w:rsidP="005F4B5F">
      <w:pPr>
        <w:numPr>
          <w:ilvl w:val="0"/>
          <w:numId w:val="8"/>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4.- Objeto del contrato</w:t>
      </w:r>
    </w:p>
    <w:p w14:paraId="6E0099E3" w14:textId="77777777" w:rsidR="005F4B5F" w:rsidRPr="00F352D3" w:rsidRDefault="005F4B5F" w:rsidP="005F4B5F">
      <w:pPr>
        <w:numPr>
          <w:ilvl w:val="0"/>
          <w:numId w:val="8"/>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5.- Valor estimado del contrato.</w:t>
      </w:r>
    </w:p>
    <w:p w14:paraId="281C93D3" w14:textId="77777777" w:rsidR="005F4B5F" w:rsidRPr="00F352D3" w:rsidRDefault="005F4B5F" w:rsidP="005F4B5F">
      <w:pPr>
        <w:numPr>
          <w:ilvl w:val="0"/>
          <w:numId w:val="8"/>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6.- Presupuesto base de licitación</w:t>
      </w:r>
    </w:p>
    <w:p w14:paraId="6B5FD0F4" w14:textId="77777777" w:rsidR="005F4B5F" w:rsidRPr="00F352D3" w:rsidRDefault="005F4B5F" w:rsidP="005F4B5F">
      <w:pPr>
        <w:numPr>
          <w:ilvl w:val="0"/>
          <w:numId w:val="8"/>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7.- Existencia de crédito</w:t>
      </w:r>
    </w:p>
    <w:p w14:paraId="55E00F89" w14:textId="77777777" w:rsidR="005F4B5F" w:rsidRPr="00F352D3" w:rsidRDefault="005F4B5F" w:rsidP="005F4B5F">
      <w:pPr>
        <w:numPr>
          <w:ilvl w:val="0"/>
          <w:numId w:val="8"/>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8.- Plazo de ejecución y prórroga</w:t>
      </w:r>
    </w:p>
    <w:p w14:paraId="0FC0CE05" w14:textId="77777777" w:rsidR="005F4B5F" w:rsidRPr="00F352D3" w:rsidRDefault="005F4B5F" w:rsidP="005F4B5F">
      <w:pPr>
        <w:numPr>
          <w:ilvl w:val="0"/>
          <w:numId w:val="8"/>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9.- Órgano de contratación</w:t>
      </w:r>
    </w:p>
    <w:p w14:paraId="72AC41B9" w14:textId="77777777" w:rsidR="005F4B5F" w:rsidRPr="00F352D3" w:rsidRDefault="005F4B5F" w:rsidP="005F4B5F">
      <w:pPr>
        <w:numPr>
          <w:ilvl w:val="0"/>
          <w:numId w:val="8"/>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10.- Perfil de contratante</w:t>
      </w:r>
    </w:p>
    <w:p w14:paraId="556240FB" w14:textId="77777777" w:rsidR="005F4B5F" w:rsidRPr="00F352D3" w:rsidRDefault="005F4B5F" w:rsidP="005F4B5F">
      <w:pPr>
        <w:numPr>
          <w:ilvl w:val="0"/>
          <w:numId w:val="8"/>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11.- Proyecto de obras</w:t>
      </w:r>
    </w:p>
    <w:p w14:paraId="3563B0E1" w14:textId="77777777" w:rsidR="005F4B5F" w:rsidRPr="00F352D3" w:rsidRDefault="005F4B5F" w:rsidP="005F4B5F">
      <w:pPr>
        <w:spacing w:before="460" w:line="360" w:lineRule="atLeast"/>
        <w:jc w:val="center"/>
        <w:rPr>
          <w:rFonts w:ascii="Trebuchet MS" w:hAnsi="Trebuchet MS"/>
          <w:b/>
          <w:bCs/>
          <w:color w:val="E91C8A"/>
          <w:sz w:val="26"/>
          <w:szCs w:val="26"/>
        </w:rPr>
      </w:pPr>
      <w:r w:rsidRPr="00F352D3">
        <w:rPr>
          <w:rFonts w:ascii="Trebuchet MS" w:hAnsi="Trebuchet MS"/>
          <w:b/>
          <w:bCs/>
          <w:color w:val="E91C8A"/>
          <w:sz w:val="26"/>
          <w:szCs w:val="26"/>
        </w:rPr>
        <w:lastRenderedPageBreak/>
        <w:t>LICITACION Y ADJUDICACIÓN</w:t>
      </w:r>
    </w:p>
    <w:p w14:paraId="4C857D75"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12.- Capacidad y solvencia. Clasificación</w:t>
      </w:r>
    </w:p>
    <w:p w14:paraId="382AC38D"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Capacidad</w:t>
      </w:r>
    </w:p>
    <w:p w14:paraId="5B9CCE17"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Solvencia</w:t>
      </w:r>
    </w:p>
    <w:p w14:paraId="299B2857"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Clasificación</w:t>
      </w:r>
    </w:p>
    <w:p w14:paraId="40675F3B"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13.- Inscripción en el Registro Oficial de Licitadores y Empresas Clasificadas del Sector Público</w:t>
      </w:r>
    </w:p>
    <w:p w14:paraId="58BD3B2A"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14.- Criterios de adjudicación y desempate</w:t>
      </w:r>
    </w:p>
    <w:p w14:paraId="6E93A733"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15.- Presentación de proposiciones</w:t>
      </w:r>
    </w:p>
    <w:p w14:paraId="318253C7"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1. </w:t>
      </w:r>
      <w:r w:rsidRPr="00F352D3">
        <w:rPr>
          <w:rFonts w:ascii="Trebuchet MS" w:hAnsi="Trebuchet MS"/>
          <w:color w:val="111111"/>
          <w:sz w:val="22"/>
          <w:szCs w:val="22"/>
        </w:rPr>
        <w:t>Medios</w:t>
      </w:r>
    </w:p>
    <w:p w14:paraId="6FD4C3B2"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2. </w:t>
      </w:r>
      <w:r w:rsidRPr="00F352D3">
        <w:rPr>
          <w:rFonts w:ascii="Trebuchet MS" w:hAnsi="Trebuchet MS"/>
          <w:color w:val="111111"/>
          <w:sz w:val="22"/>
          <w:szCs w:val="22"/>
        </w:rPr>
        <w:t>Acceso a los pliegos y demás documentación complementaria</w:t>
      </w:r>
    </w:p>
    <w:p w14:paraId="50646BAA"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3. </w:t>
      </w:r>
      <w:r w:rsidRPr="00F352D3">
        <w:rPr>
          <w:rFonts w:ascii="Trebuchet MS" w:hAnsi="Trebuchet MS"/>
          <w:color w:val="111111"/>
          <w:sz w:val="22"/>
          <w:szCs w:val="22"/>
        </w:rPr>
        <w:t>Información adicional</w:t>
      </w:r>
    </w:p>
    <w:p w14:paraId="37833718"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4. </w:t>
      </w:r>
      <w:r w:rsidRPr="00F352D3">
        <w:rPr>
          <w:rFonts w:ascii="Trebuchet MS" w:hAnsi="Trebuchet MS"/>
          <w:color w:val="111111"/>
          <w:sz w:val="22"/>
          <w:szCs w:val="22"/>
        </w:rPr>
        <w:t>Lugar y plazo</w:t>
      </w:r>
    </w:p>
    <w:p w14:paraId="3FE5617F"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5. </w:t>
      </w:r>
      <w:r w:rsidRPr="00F352D3">
        <w:rPr>
          <w:rFonts w:ascii="Trebuchet MS" w:hAnsi="Trebuchet MS"/>
          <w:color w:val="111111"/>
          <w:sz w:val="22"/>
          <w:szCs w:val="22"/>
        </w:rPr>
        <w:t>Confidencialidad</w:t>
      </w:r>
    </w:p>
    <w:p w14:paraId="5DDA0D71"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16.- Contenido de las proposiciones</w:t>
      </w:r>
    </w:p>
    <w:p w14:paraId="11428CC2"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1. </w:t>
      </w:r>
      <w:r w:rsidRPr="00F352D3">
        <w:rPr>
          <w:rFonts w:ascii="Trebuchet MS" w:hAnsi="Trebuchet MS"/>
          <w:color w:val="111111"/>
          <w:sz w:val="22"/>
          <w:szCs w:val="22"/>
        </w:rPr>
        <w:t>Sobre o archivo electrónico A - Documentación Administrativa, Oferta económica y documentación relativa a criterios evaluables mediante fórmulas</w:t>
      </w:r>
    </w:p>
    <w:p w14:paraId="411EA6BF"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2. </w:t>
      </w:r>
      <w:r w:rsidRPr="00F352D3">
        <w:rPr>
          <w:rFonts w:ascii="Trebuchet MS" w:hAnsi="Trebuchet MS"/>
          <w:color w:val="111111"/>
          <w:sz w:val="22"/>
          <w:szCs w:val="22"/>
        </w:rPr>
        <w:t>Sobre o archivo electrónico B - Documentación relativa a criterios evaluables mediante juicio de valor</w:t>
      </w:r>
    </w:p>
    <w:p w14:paraId="4FEFD709"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3. </w:t>
      </w:r>
      <w:r w:rsidRPr="00F352D3">
        <w:rPr>
          <w:rFonts w:ascii="Trebuchet MS" w:hAnsi="Trebuchet MS"/>
          <w:color w:val="111111"/>
          <w:sz w:val="22"/>
          <w:szCs w:val="22"/>
        </w:rPr>
        <w:t>Referencias técnicas</w:t>
      </w:r>
    </w:p>
    <w:p w14:paraId="3F195274"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17.- Mesa de Contratación</w:t>
      </w:r>
    </w:p>
    <w:p w14:paraId="497D1258"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18.- Examen de las proposiciones, propuesta de adjudicación y publicidad</w:t>
      </w:r>
    </w:p>
    <w:p w14:paraId="5E358A84"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19.- Valoración de las ofertas</w:t>
      </w:r>
    </w:p>
    <w:p w14:paraId="470FCDE8"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20.- Ofertas anormalmente bajas</w:t>
      </w:r>
    </w:p>
    <w:p w14:paraId="445B22F6"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21.- Presentación de documentación con carácter previo a la adjudicación</w:t>
      </w:r>
    </w:p>
    <w:p w14:paraId="7758FD7F"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22.- Garantía definitiva</w:t>
      </w:r>
    </w:p>
    <w:p w14:paraId="2C01F1F1"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lastRenderedPageBreak/>
        <w:t xml:space="preserve">- </w:t>
      </w:r>
      <w:r w:rsidRPr="00F352D3">
        <w:rPr>
          <w:rFonts w:ascii="Trebuchet MS" w:hAnsi="Trebuchet MS"/>
          <w:color w:val="111111"/>
          <w:sz w:val="22"/>
          <w:szCs w:val="22"/>
        </w:rPr>
        <w:t>Cláusula 23.- Garantía complementaria</w:t>
      </w:r>
    </w:p>
    <w:p w14:paraId="61AB6751"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24.- Decisión de no adjudicar o celebrar el contrato y desistimiento del procedimiento de adjudicación</w:t>
      </w:r>
    </w:p>
    <w:p w14:paraId="07A7742F"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25.- Adjudicación y notificación</w:t>
      </w:r>
    </w:p>
    <w:p w14:paraId="3E20D5D0"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26.- Sucesión en el procedimiento</w:t>
      </w:r>
    </w:p>
    <w:p w14:paraId="0CB762E2"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27.- Formalización del contrato</w:t>
      </w:r>
    </w:p>
    <w:p w14:paraId="7259352A"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Formalización</w:t>
      </w:r>
    </w:p>
    <w:p w14:paraId="63598DE2"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Anuncio de formalización</w:t>
      </w:r>
    </w:p>
    <w:p w14:paraId="7DA4FA3A"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28.- Pago del precio del contrato</w:t>
      </w:r>
    </w:p>
    <w:p w14:paraId="3D208F30"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29.- Revisión de precios</w:t>
      </w:r>
    </w:p>
    <w:p w14:paraId="2521F1B1"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30.- Obligaciones relativas a la fiscalidad, protección del medio ambiente, empleo y condiciones laborales y de contratar a un porcentaje específico de personas con discapacidad</w:t>
      </w:r>
    </w:p>
    <w:p w14:paraId="2241D132"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31.- Información sobre subrogación en contratos de trabajo</w:t>
      </w:r>
    </w:p>
    <w:p w14:paraId="52031FFD"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32.- Subcontratación</w:t>
      </w:r>
    </w:p>
    <w:p w14:paraId="5CEF08EC"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33.- Penalidades por incumplimiento de obligaciones contractuales</w:t>
      </w:r>
    </w:p>
    <w:p w14:paraId="593621AC"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34.- Cesión del contrato</w:t>
      </w:r>
    </w:p>
    <w:p w14:paraId="0CB69875"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35.- Obligaciones, gastos e impuestos exigibles al contratista</w:t>
      </w:r>
    </w:p>
    <w:p w14:paraId="5403733B"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36.- Ejecución de las obras</w:t>
      </w:r>
    </w:p>
    <w:p w14:paraId="23687727"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37.- Comprobación del replanteo</w:t>
      </w:r>
    </w:p>
    <w:p w14:paraId="79AFC90A"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38.- Principio de riesgo y ventura</w:t>
      </w:r>
    </w:p>
    <w:p w14:paraId="67C07579"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39.- Fuerza mayor</w:t>
      </w:r>
    </w:p>
    <w:p w14:paraId="5D679213"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40.- Responsabilidad del contratista por daños y perjuicios</w:t>
      </w:r>
    </w:p>
    <w:p w14:paraId="695BCB0D"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41.- Plan de Seguridad y Salud en el Trabajo</w:t>
      </w:r>
    </w:p>
    <w:p w14:paraId="01899E00"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42.- Señalización de las obras</w:t>
      </w:r>
    </w:p>
    <w:p w14:paraId="177F052C"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43.- Dirección y supervisión de las obras</w:t>
      </w:r>
    </w:p>
    <w:p w14:paraId="7EF6320A"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lastRenderedPageBreak/>
        <w:t xml:space="preserve">- </w:t>
      </w:r>
      <w:r w:rsidRPr="00F352D3">
        <w:rPr>
          <w:rFonts w:ascii="Trebuchet MS" w:hAnsi="Trebuchet MS"/>
          <w:color w:val="111111"/>
          <w:sz w:val="22"/>
          <w:szCs w:val="22"/>
        </w:rPr>
        <w:t>Director de la Obra</w:t>
      </w:r>
    </w:p>
    <w:p w14:paraId="45EA92CB"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Coordinador en materia de seguridad y salud</w:t>
      </w:r>
    </w:p>
    <w:p w14:paraId="530E6038" w14:textId="77777777" w:rsidR="005F4B5F" w:rsidRPr="00F352D3" w:rsidRDefault="005F4B5F" w:rsidP="005F4B5F">
      <w:pPr>
        <w:numPr>
          <w:ilvl w:val="1"/>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Delegado de obra del Contratista</w:t>
      </w:r>
    </w:p>
    <w:p w14:paraId="698E2274"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44.- Modificación del contrato Artículo 240 PL</w:t>
      </w:r>
    </w:p>
    <w:p w14:paraId="0CCC9B61" w14:textId="77777777" w:rsidR="005F4B5F" w:rsidRPr="00F352D3" w:rsidRDefault="005F4B5F" w:rsidP="005F4B5F">
      <w:pPr>
        <w:numPr>
          <w:ilvl w:val="0"/>
          <w:numId w:val="9"/>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45.- Suspensión del contrato</w:t>
      </w:r>
    </w:p>
    <w:p w14:paraId="2071868C" w14:textId="77777777" w:rsidR="005F4B5F" w:rsidRPr="00F352D3" w:rsidRDefault="005F4B5F" w:rsidP="005F4B5F">
      <w:pPr>
        <w:spacing w:before="460" w:line="360" w:lineRule="atLeast"/>
        <w:jc w:val="center"/>
        <w:rPr>
          <w:rFonts w:ascii="Trebuchet MS" w:hAnsi="Trebuchet MS"/>
          <w:b/>
          <w:bCs/>
          <w:color w:val="E91C8A"/>
          <w:sz w:val="26"/>
          <w:szCs w:val="26"/>
        </w:rPr>
      </w:pPr>
      <w:r w:rsidRPr="00F352D3">
        <w:rPr>
          <w:rFonts w:ascii="Trebuchet MS" w:hAnsi="Trebuchet MS"/>
          <w:b/>
          <w:bCs/>
          <w:color w:val="E91C8A"/>
          <w:sz w:val="26"/>
          <w:szCs w:val="26"/>
        </w:rPr>
        <w:t>EXTINCIÓN DEL CONTRATO</w:t>
      </w:r>
    </w:p>
    <w:p w14:paraId="3E436614" w14:textId="77777777" w:rsidR="005F4B5F" w:rsidRPr="00F352D3" w:rsidRDefault="005F4B5F" w:rsidP="005F4B5F">
      <w:pPr>
        <w:numPr>
          <w:ilvl w:val="0"/>
          <w:numId w:val="10"/>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46.- Cumplimiento del contrato y recepción de las obras</w:t>
      </w:r>
    </w:p>
    <w:p w14:paraId="3AAFD01A" w14:textId="77777777" w:rsidR="005F4B5F" w:rsidRPr="00F352D3" w:rsidRDefault="005F4B5F" w:rsidP="005F4B5F">
      <w:pPr>
        <w:numPr>
          <w:ilvl w:val="0"/>
          <w:numId w:val="10"/>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47.- Plazo de garantía</w:t>
      </w:r>
    </w:p>
    <w:p w14:paraId="05CF5030" w14:textId="77777777" w:rsidR="005F4B5F" w:rsidRPr="00F352D3" w:rsidRDefault="005F4B5F" w:rsidP="005F4B5F">
      <w:pPr>
        <w:numPr>
          <w:ilvl w:val="0"/>
          <w:numId w:val="10"/>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48.- Devolución de la garantía y liquidación de las obras</w:t>
      </w:r>
    </w:p>
    <w:p w14:paraId="7D43F3A3" w14:textId="77777777" w:rsidR="005F4B5F" w:rsidRPr="00F352D3" w:rsidRDefault="005F4B5F" w:rsidP="005F4B5F">
      <w:pPr>
        <w:numPr>
          <w:ilvl w:val="0"/>
          <w:numId w:val="10"/>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49.- Responsabilidad por vicios ocultos</w:t>
      </w:r>
    </w:p>
    <w:p w14:paraId="32E6A8E1" w14:textId="77777777" w:rsidR="005F4B5F" w:rsidRPr="00F352D3" w:rsidRDefault="005F4B5F" w:rsidP="005F4B5F">
      <w:pPr>
        <w:numPr>
          <w:ilvl w:val="0"/>
          <w:numId w:val="10"/>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50.- Resolución del contrato</w:t>
      </w:r>
    </w:p>
    <w:p w14:paraId="55E99288" w14:textId="77777777" w:rsidR="005F4B5F" w:rsidRPr="00F352D3" w:rsidRDefault="005F4B5F" w:rsidP="005F4B5F">
      <w:pPr>
        <w:numPr>
          <w:ilvl w:val="0"/>
          <w:numId w:val="10"/>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51.- Prerrogativas de la Administración y Tribunales competentes</w:t>
      </w:r>
    </w:p>
    <w:p w14:paraId="7CA76097" w14:textId="77777777" w:rsidR="005F4B5F" w:rsidRPr="00F352D3" w:rsidRDefault="005F4B5F" w:rsidP="005F4B5F">
      <w:pPr>
        <w:numPr>
          <w:ilvl w:val="0"/>
          <w:numId w:val="10"/>
        </w:numPr>
        <w:spacing w:after="200" w:line="360" w:lineRule="atLeast"/>
        <w:ind w:left="153"/>
        <w:jc w:val="both"/>
        <w:rPr>
          <w:rFonts w:ascii="Trebuchet MS" w:hAnsi="Trebuchet MS"/>
          <w:color w:val="111111"/>
          <w:sz w:val="22"/>
          <w:szCs w:val="22"/>
        </w:rPr>
      </w:pPr>
      <w:r w:rsidRPr="00F352D3">
        <w:rPr>
          <w:rFonts w:ascii="Trebuchet MS" w:hAnsi="Trebuchet MS"/>
          <w:b/>
          <w:bCs/>
          <w:color w:val="111111"/>
          <w:sz w:val="22"/>
          <w:szCs w:val="22"/>
        </w:rPr>
        <w:t xml:space="preserve">- </w:t>
      </w:r>
      <w:r w:rsidRPr="00F352D3">
        <w:rPr>
          <w:rFonts w:ascii="Trebuchet MS" w:hAnsi="Trebuchet MS"/>
          <w:color w:val="111111"/>
          <w:sz w:val="22"/>
          <w:szCs w:val="22"/>
        </w:rPr>
        <w:t>Cláusula 52.- Régimen de recursos contra la documentación que rige la licitación</w:t>
      </w:r>
    </w:p>
    <w:p w14:paraId="3C31845B" w14:textId="62F9F9FC" w:rsidR="005F4B5F" w:rsidRPr="00F352D3" w:rsidRDefault="005F4B5F" w:rsidP="005F4B5F">
      <w:pPr>
        <w:spacing w:after="200" w:line="276" w:lineRule="auto"/>
        <w:jc w:val="both"/>
        <w:rPr>
          <w:rFonts w:ascii="Lucida Sans" w:eastAsiaTheme="minorHAnsi" w:hAnsi="Lucida Sans" w:cs="Tahoma"/>
          <w:color w:val="00B050"/>
          <w:sz w:val="32"/>
          <w:szCs w:val="32"/>
          <w:lang w:eastAsia="en-US"/>
        </w:rPr>
      </w:pPr>
      <w:r w:rsidRPr="00F352D3">
        <w:rPr>
          <w:rFonts w:ascii="Lucida Sans" w:eastAsiaTheme="minorHAnsi" w:hAnsi="Lucida Sans" w:cs="Tahoma"/>
          <w:color w:val="00B050"/>
          <w:sz w:val="32"/>
          <w:szCs w:val="32"/>
          <w:lang w:eastAsia="en-US"/>
        </w:rPr>
        <w:t xml:space="preserve">Pliego de cláusulas administrativas particulares que ha de regir en el contrato de las obras de </w:t>
      </w:r>
      <w:r w:rsidR="002546AC">
        <w:rPr>
          <w:rFonts w:ascii="Lucida Sans" w:eastAsiaTheme="minorHAnsi" w:hAnsi="Lucida Sans" w:cs="Tahoma"/>
          <w:color w:val="00B050"/>
          <w:sz w:val="32"/>
          <w:szCs w:val="32"/>
          <w:lang w:eastAsia="en-US"/>
        </w:rPr>
        <w:t>“</w:t>
      </w:r>
      <w:r w:rsidR="003543E6">
        <w:rPr>
          <w:rFonts w:ascii="Lucida Sans" w:eastAsiaTheme="minorHAnsi" w:hAnsi="Lucida Sans" w:cs="Tahoma"/>
          <w:color w:val="00B050"/>
          <w:sz w:val="32"/>
          <w:szCs w:val="32"/>
          <w:lang w:eastAsia="en-US"/>
        </w:rPr>
        <w:t>RENOVACIÓN DE LA PLAZA DEL FRONTÓN DE MATALOBOS</w:t>
      </w:r>
      <w:r w:rsidR="002546AC">
        <w:rPr>
          <w:rFonts w:ascii="Lucida Sans" w:eastAsiaTheme="minorHAnsi" w:hAnsi="Lucida Sans" w:cs="Tahoma"/>
          <w:color w:val="00B050"/>
          <w:sz w:val="32"/>
          <w:szCs w:val="32"/>
          <w:lang w:eastAsia="en-US"/>
        </w:rPr>
        <w:t xml:space="preserve"> DEL PÁRAMO”</w:t>
      </w:r>
      <w:r w:rsidR="00692C7A">
        <w:rPr>
          <w:rFonts w:ascii="Lucida Sans" w:eastAsiaTheme="minorHAnsi" w:hAnsi="Lucida Sans" w:cs="Tahoma"/>
          <w:color w:val="00B050"/>
          <w:sz w:val="32"/>
          <w:szCs w:val="32"/>
          <w:lang w:eastAsia="en-US"/>
        </w:rPr>
        <w:t xml:space="preserve"> </w:t>
      </w:r>
      <w:r w:rsidRPr="00F352D3">
        <w:rPr>
          <w:rFonts w:ascii="Lucida Sans" w:eastAsiaTheme="minorHAnsi" w:hAnsi="Lucida Sans" w:cs="Tahoma"/>
          <w:color w:val="00B050"/>
          <w:sz w:val="32"/>
          <w:szCs w:val="32"/>
          <w:lang w:eastAsia="en-US"/>
        </w:rPr>
        <w:t>para adjudicar por procedimiento abierto, simplificado.</w:t>
      </w:r>
    </w:p>
    <w:p w14:paraId="52AF6881" w14:textId="77777777" w:rsidR="005F4B5F" w:rsidRPr="00F352D3" w:rsidRDefault="005F4B5F" w:rsidP="005F4B5F">
      <w:pPr>
        <w:spacing w:after="200" w:line="276" w:lineRule="auto"/>
        <w:jc w:val="center"/>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JUSTIFICACIÓN</w:t>
      </w:r>
    </w:p>
    <w:p w14:paraId="2E4907B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De acuerdo con el </w:t>
      </w:r>
      <w:hyperlink r:id="rId11" w:anchor="I1195');" w:tooltip="enlace" w:history="1">
        <w:r w:rsidRPr="00F352D3">
          <w:rPr>
            <w:rFonts w:ascii="Tahoma" w:eastAsiaTheme="minorHAnsi" w:hAnsi="Tahoma" w:cs="Tahoma"/>
            <w:sz w:val="22"/>
            <w:szCs w:val="22"/>
            <w:lang w:eastAsia="en-US"/>
          </w:rPr>
          <w:t>artículo 159 de la LCSP 2017</w:t>
        </w:r>
      </w:hyperlink>
      <w:r w:rsidRPr="00F352D3">
        <w:rPr>
          <w:rFonts w:ascii="Tahoma" w:eastAsiaTheme="minorHAnsi" w:hAnsi="Tahoma" w:cs="Tahoma"/>
          <w:sz w:val="22"/>
          <w:szCs w:val="22"/>
          <w:lang w:eastAsia="en-US"/>
        </w:rPr>
        <w:t xml:space="preserve"> los órganos de contratación pueden acordar la utilización de un procedimiento abierto simplificado en los contratos de obras, suministro y servicios cuando se cumplan las dos condiciones siguientes:</w:t>
      </w:r>
    </w:p>
    <w:p w14:paraId="42B9ABB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Que su valor estimado sea igual o inferior a 2.000.000 de euros en el caso de contratos de obras, y en el caso de contratos de suministro y de servicios, que su valor estimado sea igual o inferior a 100.000 euros.</w:t>
      </w:r>
    </w:p>
    <w:p w14:paraId="67FD096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Que entre los criterios de adjudicación previstos en el pliego no haya ninguno evaluable mediante juicio de valor o, de haberlos, su ponderación no supere el veinticinco por ciento del total, salvo en el caso de que el contrato tenga por objeto prestaciones de carácter intelectual, como los servicios de ingeniería y arquitectura, en que su ponderación no podrá superar el cuarenta y cinco por ciento del total.</w:t>
      </w:r>
    </w:p>
    <w:p w14:paraId="715DCB2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lastRenderedPageBreak/>
        <w:t xml:space="preserve">  El presente pliego contiene las siguientes</w:t>
      </w:r>
    </w:p>
    <w:p w14:paraId="36471C6A" w14:textId="77777777" w:rsidR="005F4B5F" w:rsidRPr="00F352D3" w:rsidRDefault="005F4B5F" w:rsidP="005F4B5F">
      <w:pPr>
        <w:spacing w:after="200" w:line="276" w:lineRule="auto"/>
        <w:jc w:val="center"/>
        <w:rPr>
          <w:rFonts w:ascii="Tahoma" w:eastAsiaTheme="minorHAnsi" w:hAnsi="Tahoma" w:cs="Tahoma"/>
          <w:b/>
          <w:color w:val="00B0F0"/>
          <w:sz w:val="22"/>
          <w:szCs w:val="22"/>
          <w:lang w:eastAsia="en-US"/>
        </w:rPr>
      </w:pPr>
      <w:r w:rsidRPr="00F352D3">
        <w:rPr>
          <w:rFonts w:ascii="Tahoma" w:eastAsiaTheme="minorHAnsi" w:hAnsi="Tahoma" w:cs="Tahoma"/>
          <w:b/>
          <w:color w:val="00B0F0"/>
          <w:sz w:val="22"/>
          <w:szCs w:val="22"/>
          <w:lang w:eastAsia="en-US"/>
        </w:rPr>
        <w:t>DISPOSICIONES GENERALES</w:t>
      </w:r>
    </w:p>
    <w:p w14:paraId="6119DD8E"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1.- Régimen jurídico</w:t>
      </w:r>
    </w:p>
    <w:p w14:paraId="385582A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contrato que regula el presente pliego tiene carácter administrativo conforme a lo señalado en el </w:t>
      </w:r>
      <w:hyperlink r:id="rId12" w:anchor="I182');" w:tooltip="enlace" w:history="1">
        <w:r w:rsidRPr="00F352D3">
          <w:rPr>
            <w:rFonts w:ascii="Tahoma" w:eastAsiaTheme="minorHAnsi" w:hAnsi="Tahoma" w:cs="Tahoma"/>
            <w:sz w:val="22"/>
            <w:szCs w:val="22"/>
            <w:lang w:eastAsia="en-US"/>
          </w:rPr>
          <w:t>artículo 25 de la LCSP 2017</w:t>
        </w:r>
      </w:hyperlink>
      <w:r w:rsidRPr="00F352D3">
        <w:rPr>
          <w:rFonts w:ascii="Tahoma" w:eastAsiaTheme="minorHAnsi" w:hAnsi="Tahoma" w:cs="Tahoma"/>
          <w:sz w:val="22"/>
          <w:szCs w:val="22"/>
          <w:lang w:eastAsia="en-US"/>
        </w:rPr>
        <w:t xml:space="preserve"> y se regirá , en cuanto a su preparación, adjudicación, efectos y extinción, en lo no previsto en el mismo por la legislación básica del Estado en materia de contratación: la </w:t>
      </w:r>
      <w:hyperlink r:id="rId13" w:tooltip="enlace" w:history="1">
        <w:r w:rsidRPr="00F352D3">
          <w:rPr>
            <w:rFonts w:ascii="Tahoma" w:eastAsiaTheme="minorHAnsi" w:hAnsi="Tahoma" w:cs="Tahoma"/>
            <w:sz w:val="22"/>
            <w:szCs w:val="22"/>
            <w:lang w:eastAsia="en-US"/>
          </w:rPr>
          <w:t>Ley 9/2017, de 8 de noviembre, de Contratos del Sector Público</w:t>
        </w:r>
      </w:hyperlink>
      <w:r w:rsidRPr="00F352D3">
        <w:rPr>
          <w:rFonts w:ascii="Tahoma" w:eastAsiaTheme="minorHAnsi" w:hAnsi="Tahoma" w:cs="Tahoma"/>
          <w:sz w:val="22"/>
          <w:szCs w:val="22"/>
          <w:lang w:eastAsia="en-US"/>
        </w:rPr>
        <w:t xml:space="preserve">, por la que se transponen al ordenamiento jurídico español las </w:t>
      </w:r>
      <w:hyperlink r:id="rId14" w:tooltip="enlace" w:history="1">
        <w:r w:rsidRPr="00F352D3">
          <w:rPr>
            <w:rFonts w:ascii="Tahoma" w:eastAsiaTheme="minorHAnsi" w:hAnsi="Tahoma" w:cs="Tahoma"/>
            <w:sz w:val="22"/>
            <w:szCs w:val="22"/>
            <w:lang w:eastAsia="en-US"/>
          </w:rPr>
          <w:t>Directivas del Parlamento Europeo y del Consejo 2014/23/UE y 2014/24/UE, de 26 de febrero de 2014</w:t>
        </w:r>
      </w:hyperlink>
      <w:r w:rsidRPr="00F352D3">
        <w:rPr>
          <w:rFonts w:ascii="Tahoma" w:eastAsiaTheme="minorHAnsi" w:hAnsi="Tahoma" w:cs="Tahoma"/>
          <w:sz w:val="22"/>
          <w:szCs w:val="22"/>
          <w:lang w:eastAsia="en-US"/>
        </w:rPr>
        <w:t xml:space="preserve">, en adelante </w:t>
      </w:r>
      <w:hyperlink r:id="rId15" w:tooltip="enlace" w:history="1">
        <w:r w:rsidRPr="00F352D3">
          <w:rPr>
            <w:rFonts w:ascii="Tahoma" w:eastAsiaTheme="minorHAnsi" w:hAnsi="Tahoma" w:cs="Tahoma"/>
            <w:sz w:val="22"/>
            <w:szCs w:val="22"/>
            <w:lang w:eastAsia="en-US"/>
          </w:rPr>
          <w:t>LCSP 2017</w:t>
        </w:r>
      </w:hyperlink>
      <w:r w:rsidRPr="00F352D3">
        <w:rPr>
          <w:rFonts w:ascii="Tahoma" w:eastAsiaTheme="minorHAnsi" w:hAnsi="Tahoma" w:cs="Tahoma"/>
          <w:sz w:val="22"/>
          <w:szCs w:val="22"/>
          <w:lang w:eastAsia="en-US"/>
        </w:rPr>
        <w:t xml:space="preserve"> por el </w:t>
      </w:r>
      <w:hyperlink r:id="rId16" w:tooltip="enlace" w:history="1">
        <w:r w:rsidRPr="00F352D3">
          <w:rPr>
            <w:rFonts w:ascii="Tahoma" w:eastAsiaTheme="minorHAnsi" w:hAnsi="Tahoma" w:cs="Tahoma"/>
            <w:sz w:val="22"/>
            <w:szCs w:val="22"/>
            <w:lang w:eastAsia="en-US"/>
          </w:rPr>
          <w:t>Reglamento General de la Ley de Contratos de las Administraciones Públicas, aprobado por Real Decreto 1098/2001, de 12 de Octubre</w:t>
        </w:r>
      </w:hyperlink>
      <w:r w:rsidRPr="00F352D3">
        <w:rPr>
          <w:rFonts w:ascii="Tahoma" w:eastAsiaTheme="minorHAnsi" w:hAnsi="Tahoma" w:cs="Tahoma"/>
          <w:sz w:val="22"/>
          <w:szCs w:val="22"/>
          <w:lang w:eastAsia="en-US"/>
        </w:rPr>
        <w:t xml:space="preserve">, en cuanto no se oponga a lo establecido en la </w:t>
      </w:r>
      <w:hyperlink r:id="rId17" w:tooltip="enlace" w:history="1">
        <w:r w:rsidRPr="00F352D3">
          <w:rPr>
            <w:rFonts w:ascii="Tahoma" w:eastAsiaTheme="minorHAnsi" w:hAnsi="Tahoma" w:cs="Tahoma"/>
            <w:sz w:val="22"/>
            <w:szCs w:val="22"/>
            <w:lang w:eastAsia="en-US"/>
          </w:rPr>
          <w:t>LCSP 2017</w:t>
        </w:r>
      </w:hyperlink>
      <w:r w:rsidRPr="00F352D3">
        <w:rPr>
          <w:rFonts w:ascii="Tahoma" w:eastAsiaTheme="minorHAnsi" w:hAnsi="Tahoma" w:cs="Tahoma"/>
          <w:sz w:val="22"/>
          <w:szCs w:val="22"/>
          <w:lang w:eastAsia="en-US"/>
        </w:rPr>
        <w:t xml:space="preserve">, en adelante </w:t>
      </w:r>
      <w:hyperlink r:id="rId18" w:tooltip="enlace" w:history="1">
        <w:r w:rsidRPr="00F352D3">
          <w:rPr>
            <w:rFonts w:ascii="Tahoma" w:eastAsiaTheme="minorHAnsi" w:hAnsi="Tahoma" w:cs="Tahoma"/>
            <w:sz w:val="22"/>
            <w:szCs w:val="22"/>
            <w:lang w:eastAsia="en-US"/>
          </w:rPr>
          <w:t>RGLCAP</w:t>
        </w:r>
      </w:hyperlink>
      <w:r w:rsidRPr="00F352D3">
        <w:rPr>
          <w:rFonts w:ascii="Tahoma" w:eastAsiaTheme="minorHAnsi" w:hAnsi="Tahoma" w:cs="Tahoma"/>
          <w:sz w:val="22"/>
          <w:szCs w:val="22"/>
          <w:lang w:eastAsia="en-US"/>
        </w:rPr>
        <w:t xml:space="preserve">, y, por el </w:t>
      </w:r>
      <w:hyperlink r:id="rId19" w:tooltip="enlace" w:history="1">
        <w:r w:rsidRPr="00F352D3">
          <w:rPr>
            <w:rFonts w:ascii="Tahoma" w:eastAsiaTheme="minorHAnsi" w:hAnsi="Tahoma" w:cs="Tahoma"/>
            <w:sz w:val="22"/>
            <w:szCs w:val="22"/>
            <w:lang w:eastAsia="en-US"/>
          </w:rPr>
          <w:t>Real Decreto 817/2009, de 8 de mayo</w:t>
        </w:r>
      </w:hyperlink>
      <w:r w:rsidRPr="00F352D3">
        <w:rPr>
          <w:rFonts w:ascii="Tahoma" w:eastAsiaTheme="minorHAnsi" w:hAnsi="Tahoma" w:cs="Tahoma"/>
          <w:sz w:val="22"/>
          <w:szCs w:val="22"/>
          <w:lang w:eastAsia="en-US"/>
        </w:rPr>
        <w:t xml:space="preserve">, por el que se desarrolla parcialmente la </w:t>
      </w:r>
      <w:hyperlink r:id="rId20" w:tooltip="enlace" w:history="1">
        <w:r w:rsidRPr="00F352D3">
          <w:rPr>
            <w:rFonts w:ascii="Tahoma" w:eastAsiaTheme="minorHAnsi" w:hAnsi="Tahoma" w:cs="Tahoma"/>
            <w:sz w:val="22"/>
            <w:szCs w:val="22"/>
            <w:lang w:eastAsia="en-US"/>
          </w:rPr>
          <w:t>Ley 30/2007, de 30 de octubre</w:t>
        </w:r>
      </w:hyperlink>
      <w:r w:rsidRPr="00F352D3">
        <w:rPr>
          <w:rFonts w:ascii="Tahoma" w:eastAsiaTheme="minorHAnsi" w:hAnsi="Tahoma" w:cs="Tahoma"/>
          <w:sz w:val="22"/>
          <w:szCs w:val="22"/>
          <w:lang w:eastAsia="en-US"/>
        </w:rPr>
        <w:t>, de Contratos del Sector Público, por la normativa autonómica de desarrollo en materia de contratos</w:t>
      </w:r>
      <w:hyperlink r:id="rId21" w:anchor="nFO0000108130_NOTA1" w:history="1"/>
      <w:r w:rsidRPr="00F352D3">
        <w:rPr>
          <w:rFonts w:ascii="Tahoma" w:eastAsiaTheme="minorHAnsi" w:hAnsi="Tahoma" w:cs="Tahoma"/>
          <w:sz w:val="22"/>
          <w:szCs w:val="22"/>
          <w:lang w:eastAsia="en-US"/>
        </w:rPr>
        <w:t>, y por la de Régimen Local, aplicándose, supletoriamente las normas estatales sobre contratación que no tengan carácter básico, las restantes normas de derecho administrativo y, en su defecto, las de derecho privado.</w:t>
      </w:r>
    </w:p>
    <w:p w14:paraId="43811F7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Las partes quedan sometidas expresamente a lo establecido en el presente pliego y sus anexos, el pliego de prescripciones técnicas particulares, así como todos los documentos que integran el proyecto de las obras, que revestirán carácter contractual.</w:t>
      </w:r>
    </w:p>
    <w:p w14:paraId="4BA2302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contrato se ajustará al contenido del presente pliego, cuyas cláusulas se entenderán parte integrante de aquél.</w:t>
      </w:r>
    </w:p>
    <w:p w14:paraId="281DA93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En caso de discrepancia entre el presente pliego y el resto de documentación que reviste carácter contractual, prevalecerá el presente pliego. </w:t>
      </w:r>
    </w:p>
    <w:p w14:paraId="14F1C8E0"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Cuando la discordancia se produzca entre los documentos que integran el proyecto se estará al orden de prelación que fije el Pliego de Prescripciones Técnicas Particulares que integra aquél.</w:t>
      </w:r>
    </w:p>
    <w:p w14:paraId="1AB3F2B3"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2.- Procedimiento de adjudicación y forma de tramitación del expediente</w:t>
      </w:r>
    </w:p>
    <w:p w14:paraId="04726EC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contrato no se encuentra sujeto a regulación armonizada como así se hace constar en el </w:t>
      </w:r>
      <w:r w:rsidRPr="00F352D3">
        <w:rPr>
          <w:rFonts w:ascii="Tahoma" w:eastAsiaTheme="minorHAnsi" w:hAnsi="Tahoma" w:cs="Tahoma"/>
          <w:color w:val="00B050"/>
          <w:sz w:val="22"/>
          <w:szCs w:val="22"/>
          <w:lang w:eastAsia="en-US"/>
        </w:rPr>
        <w:t>apartado 3 del Cuadro de Características</w:t>
      </w:r>
      <w:r w:rsidRPr="00F352D3">
        <w:rPr>
          <w:rFonts w:ascii="Tahoma" w:eastAsiaTheme="minorHAnsi" w:hAnsi="Tahoma" w:cs="Tahoma"/>
          <w:sz w:val="22"/>
          <w:szCs w:val="22"/>
          <w:lang w:eastAsia="en-US"/>
        </w:rPr>
        <w:t xml:space="preserve"> del Contrato, de conformidad con lo señalado en los </w:t>
      </w:r>
      <w:hyperlink r:id="rId22" w:anchor="I160');" w:tooltip="enlace" w:history="1">
        <w:r w:rsidRPr="00F352D3">
          <w:rPr>
            <w:rFonts w:ascii="Tahoma" w:eastAsiaTheme="minorHAnsi" w:hAnsi="Tahoma" w:cs="Tahoma"/>
            <w:sz w:val="22"/>
            <w:szCs w:val="22"/>
            <w:lang w:eastAsia="en-US"/>
          </w:rPr>
          <w:t>artículos 20</w:t>
        </w:r>
      </w:hyperlink>
      <w:r w:rsidRPr="00F352D3">
        <w:rPr>
          <w:rFonts w:ascii="Tahoma" w:eastAsiaTheme="minorHAnsi" w:hAnsi="Tahoma" w:cs="Tahoma"/>
          <w:sz w:val="22"/>
          <w:szCs w:val="22"/>
          <w:lang w:eastAsia="en-US"/>
        </w:rPr>
        <w:t xml:space="preserve"> y 19 de la LCSP 2017.</w:t>
      </w:r>
    </w:p>
    <w:p w14:paraId="3510B98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contrato se adjudicará mediante procedimiento abierto simplificado conforme al </w:t>
      </w:r>
      <w:hyperlink r:id="rId23" w:anchor="I1195');" w:tooltip="enlace" w:history="1">
        <w:r w:rsidRPr="00F352D3">
          <w:rPr>
            <w:rFonts w:ascii="Tahoma" w:eastAsiaTheme="minorHAnsi" w:hAnsi="Tahoma" w:cs="Tahoma"/>
            <w:sz w:val="22"/>
            <w:szCs w:val="22"/>
            <w:lang w:eastAsia="en-US"/>
          </w:rPr>
          <w:t>artículo 159 de la LCSP 2017</w:t>
        </w:r>
      </w:hyperlink>
      <w:r w:rsidRPr="00F352D3">
        <w:rPr>
          <w:rFonts w:ascii="Tahoma" w:eastAsiaTheme="minorHAnsi" w:hAnsi="Tahoma" w:cs="Tahoma"/>
          <w:sz w:val="22"/>
          <w:szCs w:val="22"/>
          <w:lang w:eastAsia="en-US"/>
        </w:rPr>
        <w:t>, y se tramitará de acuerdo con lo señalado en el citado apartado 3.</w:t>
      </w:r>
    </w:p>
    <w:p w14:paraId="5DA99BAC"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3.- Necesidad e idoneidad del contrato y eficiencia en la contratación</w:t>
      </w:r>
    </w:p>
    <w:p w14:paraId="4EC6017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lastRenderedPageBreak/>
        <w:t xml:space="preserve">En la documentación preparatoria del presente contrato se justifican, conforme a lo señalado en el </w:t>
      </w:r>
      <w:hyperlink r:id="rId24" w:anchor="I215');" w:tooltip="enlace" w:history="1">
        <w:r w:rsidRPr="00F352D3">
          <w:rPr>
            <w:rFonts w:ascii="Tahoma" w:eastAsiaTheme="minorHAnsi" w:hAnsi="Tahoma" w:cs="Tahoma"/>
            <w:sz w:val="22"/>
            <w:szCs w:val="22"/>
            <w:lang w:eastAsia="en-US"/>
          </w:rPr>
          <w:t>artículo 28 de la LCSP 2017</w:t>
        </w:r>
      </w:hyperlink>
      <w:r w:rsidRPr="00F352D3">
        <w:rPr>
          <w:rFonts w:ascii="Tahoma" w:eastAsiaTheme="minorHAnsi" w:hAnsi="Tahoma" w:cs="Tahoma"/>
          <w:sz w:val="22"/>
          <w:szCs w:val="22"/>
          <w:lang w:eastAsia="en-US"/>
        </w:rPr>
        <w:t xml:space="preserve"> los fines institucionales, la naturaleza y extensión de las necesidades administrativas a satisfacer mediante el mismo, la idoneidad de su objeto y contenido para satisfacerlas, así como los factores de todo orden tenidos en cuenta.</w:t>
      </w:r>
    </w:p>
    <w:p w14:paraId="1D32B588"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4.- Objeto del contrato</w:t>
      </w:r>
    </w:p>
    <w:p w14:paraId="3D6AD59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Constituye el objeto del contrato al que se refiere el presente pliego, la ejecución de las obras y/o los trabajos que se recogen y clasifican conforme al </w:t>
      </w:r>
      <w:hyperlink r:id="rId25" w:anchor="I103');" w:tooltip="enlace" w:history="1">
        <w:r w:rsidRPr="00F352D3">
          <w:rPr>
            <w:rFonts w:ascii="Tahoma" w:eastAsiaTheme="minorHAnsi" w:hAnsi="Tahoma" w:cs="Tahoma"/>
            <w:sz w:val="22"/>
            <w:szCs w:val="22"/>
            <w:lang w:eastAsia="en-US"/>
          </w:rPr>
          <w:t>artículo 13</w:t>
        </w:r>
      </w:hyperlink>
      <w:r w:rsidRPr="00F352D3">
        <w:rPr>
          <w:rFonts w:ascii="Tahoma" w:eastAsiaTheme="minorHAnsi" w:hAnsi="Tahoma" w:cs="Tahoma"/>
          <w:sz w:val="22"/>
          <w:szCs w:val="22"/>
          <w:lang w:eastAsia="en-US"/>
        </w:rPr>
        <w:t xml:space="preserve"> y </w:t>
      </w:r>
      <w:hyperlink r:id="rId26" w:anchor="I1676');" w:tooltip="enlace" w:history="1">
        <w:r w:rsidRPr="00F352D3">
          <w:rPr>
            <w:rFonts w:ascii="Tahoma" w:eastAsiaTheme="minorHAnsi" w:hAnsi="Tahoma" w:cs="Tahoma"/>
            <w:sz w:val="22"/>
            <w:szCs w:val="22"/>
            <w:lang w:eastAsia="en-US"/>
          </w:rPr>
          <w:t>232 de la LCSP 2017</w:t>
        </w:r>
      </w:hyperlink>
      <w:r w:rsidRPr="00F352D3">
        <w:rPr>
          <w:rFonts w:ascii="Tahoma" w:eastAsiaTheme="minorHAnsi" w:hAnsi="Tahoma" w:cs="Tahoma"/>
          <w:sz w:val="22"/>
          <w:szCs w:val="22"/>
          <w:lang w:eastAsia="en-US"/>
        </w:rPr>
        <w:t xml:space="preserve"> en el </w:t>
      </w:r>
      <w:r w:rsidRPr="00F352D3">
        <w:rPr>
          <w:rFonts w:ascii="Tahoma" w:eastAsiaTheme="minorHAnsi" w:hAnsi="Tahoma" w:cs="Tahoma"/>
          <w:color w:val="00B050"/>
          <w:sz w:val="22"/>
          <w:szCs w:val="22"/>
          <w:lang w:eastAsia="en-US"/>
        </w:rPr>
        <w:t xml:space="preserve">apartado 2 del Cuadro de Características </w:t>
      </w:r>
      <w:r w:rsidRPr="00F352D3">
        <w:rPr>
          <w:rFonts w:ascii="Tahoma" w:eastAsiaTheme="minorHAnsi" w:hAnsi="Tahoma" w:cs="Tahoma"/>
          <w:sz w:val="22"/>
          <w:szCs w:val="22"/>
          <w:lang w:eastAsia="en-US"/>
        </w:rPr>
        <w:t>del Contrato, de acuerdo con el proyecto, y el estudio básico de Seguridad y Salud, que en el citado apartado se recoge, en el que se hacen constar igualmente los responsables de la dirección de la obra, de la dirección de la ejecución de la obra y de su coordinación de seguridad y salud, y las determinaciones contenidas en el pliego de prescripciones técnicas.</w:t>
      </w:r>
    </w:p>
    <w:p w14:paraId="4690914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contratación no se fracciona en lotes.</w:t>
      </w:r>
    </w:p>
    <w:p w14:paraId="3322ADC2"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A estos efectos en las uniones de empresarios serán éstas y no sus componentes las consideradas candidato o licitador.</w:t>
      </w:r>
    </w:p>
    <w:p w14:paraId="5470B834"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5.- Valor estimado del contrato.</w:t>
      </w:r>
    </w:p>
    <w:p w14:paraId="03577CB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valor estimado del contrato es el que recoge el </w:t>
      </w:r>
      <w:r w:rsidRPr="00F352D3">
        <w:rPr>
          <w:rFonts w:ascii="Tahoma" w:eastAsiaTheme="minorHAnsi" w:hAnsi="Tahoma" w:cs="Tahoma"/>
          <w:color w:val="00B050"/>
          <w:sz w:val="22"/>
          <w:szCs w:val="22"/>
          <w:lang w:eastAsia="en-US"/>
        </w:rPr>
        <w:t>apartado 5 del Cuadro de Características</w:t>
      </w:r>
      <w:r w:rsidRPr="00F352D3">
        <w:rPr>
          <w:rFonts w:ascii="Tahoma" w:eastAsiaTheme="minorHAnsi" w:hAnsi="Tahoma" w:cs="Tahoma"/>
          <w:sz w:val="22"/>
          <w:szCs w:val="22"/>
          <w:lang w:eastAsia="en-US"/>
        </w:rPr>
        <w:t xml:space="preserve"> del Contrato, calculado en la forma determinada en el </w:t>
      </w:r>
      <w:hyperlink r:id="rId27" w:anchor="I715');" w:tooltip="enlace" w:history="1">
        <w:r w:rsidRPr="00F352D3">
          <w:rPr>
            <w:rFonts w:ascii="Tahoma" w:eastAsiaTheme="minorHAnsi" w:hAnsi="Tahoma" w:cs="Tahoma"/>
            <w:sz w:val="22"/>
            <w:szCs w:val="22"/>
            <w:lang w:eastAsia="en-US"/>
          </w:rPr>
          <w:t>artículo 101 de la LCSP 2017</w:t>
        </w:r>
      </w:hyperlink>
      <w:r w:rsidRPr="00F352D3">
        <w:rPr>
          <w:rFonts w:ascii="Tahoma" w:eastAsiaTheme="minorHAnsi" w:hAnsi="Tahoma" w:cs="Tahoma"/>
          <w:sz w:val="22"/>
          <w:szCs w:val="22"/>
          <w:lang w:eastAsia="en-US"/>
        </w:rPr>
        <w:t xml:space="preserve"> y que en tal apartado se explicita, que incluye tanto los costes derivados de la aplicación de las normativas laborales vigentes, otros costes que se derivan de la ejecución material de los servicios, los gastos generales de estructura, el beneficio industrial y el derivado de los suministros necesarios para su ejecución que en su caso se pongan a disposición del contratista por el órgano de contratación.</w:t>
      </w:r>
    </w:p>
    <w:p w14:paraId="4E58E39B"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6.- Presupuesto base de licitación</w:t>
      </w:r>
    </w:p>
    <w:p w14:paraId="43208AB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presupuesto base de licitación que opera como límite máximo de gasto que en virtud del contrato puede comprometer el órgano de contratación competente en cada caso de esta Entidad Local, incluido el Impuesto sobre el Valor Añadido </w:t>
      </w:r>
      <w:hyperlink r:id="rId28" w:anchor="nFO0000108130_NOTA4" w:history="1"/>
      <w:r w:rsidRPr="00F352D3">
        <w:rPr>
          <w:rFonts w:ascii="Tahoma" w:eastAsiaTheme="minorHAnsi" w:hAnsi="Tahoma" w:cs="Tahoma"/>
          <w:sz w:val="22"/>
          <w:szCs w:val="22"/>
          <w:lang w:eastAsia="en-US"/>
        </w:rPr>
        <w:t xml:space="preserve">, que se indica como partida independiente, conforme a lo señalado en el </w:t>
      </w:r>
      <w:hyperlink r:id="rId29" w:anchor="I748');" w:tooltip="enlace" w:history="1">
        <w:r w:rsidRPr="00F352D3">
          <w:rPr>
            <w:rFonts w:ascii="Tahoma" w:eastAsiaTheme="minorHAnsi" w:hAnsi="Tahoma" w:cs="Tahoma"/>
            <w:sz w:val="22"/>
            <w:szCs w:val="22"/>
            <w:lang w:eastAsia="en-US"/>
          </w:rPr>
          <w:t>artículo 102.1 de la LCSP 2017</w:t>
        </w:r>
      </w:hyperlink>
      <w:r w:rsidRPr="00F352D3">
        <w:rPr>
          <w:rFonts w:ascii="Tahoma" w:eastAsiaTheme="minorHAnsi" w:hAnsi="Tahoma" w:cs="Tahoma"/>
          <w:sz w:val="22"/>
          <w:szCs w:val="22"/>
          <w:lang w:eastAsia="en-US"/>
        </w:rPr>
        <w:t xml:space="preserve">, asciende a la cantidad expresada en el </w:t>
      </w:r>
      <w:r w:rsidRPr="00F352D3">
        <w:rPr>
          <w:rFonts w:ascii="Tahoma" w:eastAsiaTheme="minorHAnsi" w:hAnsi="Tahoma" w:cs="Tahoma"/>
          <w:color w:val="00B050"/>
          <w:sz w:val="22"/>
          <w:szCs w:val="22"/>
          <w:lang w:eastAsia="en-US"/>
        </w:rPr>
        <w:t>apartado 4 del Cuadro de Características</w:t>
      </w:r>
      <w:r w:rsidRPr="00F352D3">
        <w:rPr>
          <w:rFonts w:ascii="Tahoma" w:eastAsiaTheme="minorHAnsi" w:hAnsi="Tahoma" w:cs="Tahoma"/>
          <w:sz w:val="22"/>
          <w:szCs w:val="22"/>
          <w:lang w:eastAsia="en-US"/>
        </w:rPr>
        <w:t xml:space="preserve"> del Contrato.</w:t>
      </w:r>
    </w:p>
    <w:p w14:paraId="5275C340"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7.- Existencia de crédito</w:t>
      </w:r>
    </w:p>
    <w:p w14:paraId="0AD0605F" w14:textId="1A97EBFF"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Existe crédito suficiente para el ejercicio 2.02</w:t>
      </w:r>
      <w:r w:rsidR="00692C7A">
        <w:rPr>
          <w:rFonts w:ascii="Tahoma" w:eastAsiaTheme="minorHAnsi" w:hAnsi="Tahoma" w:cs="Tahoma"/>
          <w:sz w:val="22"/>
          <w:szCs w:val="22"/>
          <w:lang w:eastAsia="en-US"/>
        </w:rPr>
        <w:t>5</w:t>
      </w:r>
      <w:r w:rsidRPr="00F352D3">
        <w:rPr>
          <w:rFonts w:ascii="Tahoma" w:eastAsiaTheme="minorHAnsi" w:hAnsi="Tahoma" w:cs="Tahoma"/>
          <w:sz w:val="22"/>
          <w:szCs w:val="22"/>
          <w:lang w:eastAsia="en-US"/>
        </w:rPr>
        <w:t xml:space="preserve"> hasta el importe del presupuesto base de licitación recogido en el </w:t>
      </w:r>
      <w:r w:rsidRPr="00F352D3">
        <w:rPr>
          <w:rFonts w:ascii="Tahoma" w:eastAsiaTheme="minorHAnsi" w:hAnsi="Tahoma" w:cs="Tahoma"/>
          <w:color w:val="00B050"/>
          <w:sz w:val="22"/>
          <w:szCs w:val="22"/>
          <w:lang w:eastAsia="en-US"/>
        </w:rPr>
        <w:t>apartado 4 del Cuadro de Características</w:t>
      </w:r>
      <w:r w:rsidRPr="00F352D3">
        <w:rPr>
          <w:rFonts w:ascii="Tahoma" w:eastAsiaTheme="minorHAnsi" w:hAnsi="Tahoma" w:cs="Tahoma"/>
          <w:sz w:val="22"/>
          <w:szCs w:val="22"/>
          <w:lang w:eastAsia="en-US"/>
        </w:rPr>
        <w:t xml:space="preserve"> del Contrato.</w:t>
      </w:r>
    </w:p>
    <w:p w14:paraId="770DC21F"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8.- Plazo de ejecución y prórroga</w:t>
      </w:r>
    </w:p>
    <w:p w14:paraId="65DD268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plazo total de ejecución del contrato, y, en su caso, los parciales figuran en el </w:t>
      </w:r>
      <w:r w:rsidRPr="00F352D3">
        <w:rPr>
          <w:rFonts w:ascii="Tahoma" w:eastAsiaTheme="minorHAnsi" w:hAnsi="Tahoma" w:cs="Tahoma"/>
          <w:color w:val="00B050"/>
          <w:sz w:val="22"/>
          <w:szCs w:val="22"/>
          <w:lang w:eastAsia="en-US"/>
        </w:rPr>
        <w:t>apartado 17 del Cuadro de Características</w:t>
      </w:r>
      <w:r w:rsidRPr="00F352D3">
        <w:rPr>
          <w:rFonts w:ascii="Tahoma" w:eastAsiaTheme="minorHAnsi" w:hAnsi="Tahoma" w:cs="Tahoma"/>
          <w:sz w:val="22"/>
          <w:szCs w:val="22"/>
          <w:lang w:eastAsia="en-US"/>
        </w:rPr>
        <w:t xml:space="preserve"> del Contrato. </w:t>
      </w:r>
    </w:p>
    <w:p w14:paraId="701B1DD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lastRenderedPageBreak/>
        <w:t>Los plazos indicados comenzarán a contarse a partir de la expedición del acta de comprobación del replanteo.</w:t>
      </w:r>
    </w:p>
    <w:p w14:paraId="5B53DDE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contratista está obligado a cumplir el contrato dentro del plazo total fijado para la realización del mismo. </w:t>
      </w:r>
    </w:p>
    <w:p w14:paraId="3B74ADE0"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9.- Órgano de contratación</w:t>
      </w:r>
    </w:p>
    <w:p w14:paraId="063F44B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órgano de contratación, que actúa en nombre de la Entidad Local es el que se señala en </w:t>
      </w:r>
      <w:r w:rsidRPr="00F352D3">
        <w:rPr>
          <w:rFonts w:ascii="Tahoma" w:eastAsiaTheme="minorHAnsi" w:hAnsi="Tahoma" w:cs="Tahoma"/>
          <w:color w:val="00B050"/>
          <w:sz w:val="22"/>
          <w:szCs w:val="22"/>
          <w:lang w:eastAsia="en-US"/>
        </w:rPr>
        <w:t>el apartado 1 del Cuadro de Característica</w:t>
      </w:r>
      <w:r w:rsidRPr="00F352D3">
        <w:rPr>
          <w:rFonts w:ascii="Tahoma" w:eastAsiaTheme="minorHAnsi" w:hAnsi="Tahoma" w:cs="Tahoma"/>
          <w:sz w:val="22"/>
          <w:szCs w:val="22"/>
          <w:lang w:eastAsia="en-US"/>
        </w:rPr>
        <w:t xml:space="preserve">s del Contrato, en virtud de las facultades que le confieren los </w:t>
      </w:r>
      <w:hyperlink r:id="rId30" w:anchor="I461');" w:tooltip="enlace" w:history="1">
        <w:r w:rsidRPr="00F352D3">
          <w:rPr>
            <w:rFonts w:ascii="Tahoma" w:eastAsiaTheme="minorHAnsi" w:hAnsi="Tahoma" w:cs="Tahoma"/>
            <w:sz w:val="22"/>
            <w:szCs w:val="22"/>
            <w:lang w:eastAsia="en-US"/>
          </w:rPr>
          <w:t>artículos 61</w:t>
        </w:r>
      </w:hyperlink>
      <w:r w:rsidRPr="00F352D3">
        <w:rPr>
          <w:rFonts w:ascii="Tahoma" w:eastAsiaTheme="minorHAnsi" w:hAnsi="Tahoma" w:cs="Tahoma"/>
          <w:sz w:val="22"/>
          <w:szCs w:val="22"/>
          <w:lang w:eastAsia="en-US"/>
        </w:rPr>
        <w:t xml:space="preserve"> y </w:t>
      </w:r>
      <w:hyperlink r:id="rId31" w:anchor="I2265');" w:tooltip="enlace" w:history="1">
        <w:r w:rsidRPr="00F352D3">
          <w:rPr>
            <w:rFonts w:ascii="Tahoma" w:eastAsiaTheme="minorHAnsi" w:hAnsi="Tahoma" w:cs="Tahoma"/>
            <w:sz w:val="22"/>
            <w:szCs w:val="22"/>
            <w:lang w:eastAsia="en-US"/>
          </w:rPr>
          <w:t>323 de la LCSP 2017</w:t>
        </w:r>
      </w:hyperlink>
      <w:r w:rsidRPr="00F352D3">
        <w:rPr>
          <w:rFonts w:ascii="Tahoma" w:eastAsiaTheme="minorHAnsi" w:hAnsi="Tahoma" w:cs="Tahoma"/>
          <w:sz w:val="22"/>
          <w:szCs w:val="22"/>
          <w:lang w:eastAsia="en-US"/>
        </w:rPr>
        <w:t>.</w:t>
      </w:r>
    </w:p>
    <w:p w14:paraId="443CE2B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Dicho órgano tiene facultad para adjudicar el contrato y, en consecuencia, ostenta las prerrogativas de interpretarlo, resolver las dudas que ofrezca su cumplimiento, modificarlo por razones de interés público, acordar su resolución y determinar los efectos de ésta, con sujeción a la normativa aplicable.</w:t>
      </w:r>
    </w:p>
    <w:p w14:paraId="6ED39C4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Los acuerdos, previo informe jurídico, que a este respecto dicte serán inmediatamente ejecutivos, sin perjuicio del derecho del contratista a su impugnación ante la jurisdicción competente.</w:t>
      </w:r>
    </w:p>
    <w:p w14:paraId="471FBA18"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10.- Perfil de contratante</w:t>
      </w:r>
    </w:p>
    <w:p w14:paraId="2733044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Conforme al </w:t>
      </w:r>
      <w:hyperlink r:id="rId32" w:anchor="I468');" w:tooltip="enlace" w:history="1">
        <w:r w:rsidRPr="00F352D3">
          <w:rPr>
            <w:rFonts w:ascii="Tahoma" w:eastAsiaTheme="minorHAnsi" w:hAnsi="Tahoma" w:cs="Tahoma"/>
            <w:sz w:val="22"/>
            <w:szCs w:val="22"/>
            <w:lang w:eastAsia="en-US"/>
          </w:rPr>
          <w:t>artículo 63 de la LCSP 2017</w:t>
        </w:r>
      </w:hyperlink>
      <w:r w:rsidRPr="00F352D3">
        <w:rPr>
          <w:rFonts w:ascii="Tahoma" w:eastAsiaTheme="minorHAnsi" w:hAnsi="Tahoma" w:cs="Tahoma"/>
          <w:sz w:val="22"/>
          <w:szCs w:val="22"/>
          <w:lang w:eastAsia="en-US"/>
        </w:rPr>
        <w:t xml:space="preserve"> y con el fin de asegurar la transparencia y el acceso público a la información relativa a la actividad contractual de esta Entidad Local  se facilita a través del Perfil de Contratante de la misma toda la información relativa a su actividad contractual, incluyendo los anuncios relativos al presente contrato, el presente pliego y en la página  WEB del Ayuntamiento Bustillo del Páramo.</w:t>
      </w:r>
    </w:p>
    <w:p w14:paraId="6B37342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Perfil incluye tanto la información de tipo general precisa para relacionarse con el órgano de contratación de la Entidad Local, como puntos de contacto, números de teléfono y de fax, dirección postal y dirección electrónica, informaciones, anuncios y documentos generales, las instrucciones internas de contratación y modelos de documentos, así como la información particular relativa a los contratos que celebre.</w:t>
      </w:r>
    </w:p>
    <w:p w14:paraId="3FD80C9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perfil será accesible para todos los interesados desde la dirección que se señala en </w:t>
      </w:r>
      <w:r w:rsidRPr="00F352D3">
        <w:rPr>
          <w:rFonts w:ascii="Tahoma" w:eastAsiaTheme="minorHAnsi" w:hAnsi="Tahoma" w:cs="Tahoma"/>
          <w:color w:val="00B050"/>
          <w:sz w:val="22"/>
          <w:szCs w:val="22"/>
          <w:lang w:eastAsia="en-US"/>
        </w:rPr>
        <w:t>el apartado 1 del Cuadro de Características</w:t>
      </w:r>
      <w:r w:rsidRPr="00F352D3">
        <w:rPr>
          <w:rFonts w:ascii="Tahoma" w:eastAsiaTheme="minorHAnsi" w:hAnsi="Tahoma" w:cs="Tahoma"/>
          <w:sz w:val="22"/>
          <w:szCs w:val="22"/>
          <w:lang w:eastAsia="en-US"/>
        </w:rPr>
        <w:t xml:space="preserve"> del Contrato.</w:t>
      </w:r>
    </w:p>
    <w:p w14:paraId="5E67C9A8"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11.- Proyecto de obras</w:t>
      </w:r>
    </w:p>
    <w:p w14:paraId="4EB012D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Con carácter previo a la adjudicación del contrato deberá haberse elaborado, supervisado, aprobado y replanteado el proyecto que defina con precisión el objeto del contrato, aprobación que corresponde al órgano de contratación competente de la Entidad Local.</w:t>
      </w:r>
    </w:p>
    <w:p w14:paraId="53CF8FA8" w14:textId="77777777" w:rsidR="005F4B5F" w:rsidRPr="00F352D3" w:rsidRDefault="005F4B5F" w:rsidP="005F4B5F">
      <w:pPr>
        <w:spacing w:after="200" w:line="276" w:lineRule="auto"/>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proyecto deberá tener el contenido previsto en el </w:t>
      </w:r>
      <w:hyperlink r:id="rId33" w:anchor="I1689');" w:tooltip="enlace" w:history="1">
        <w:r w:rsidRPr="00F352D3">
          <w:rPr>
            <w:rFonts w:ascii="Tahoma" w:eastAsiaTheme="minorHAnsi" w:hAnsi="Tahoma" w:cs="Tahoma"/>
            <w:sz w:val="22"/>
            <w:szCs w:val="22"/>
            <w:lang w:eastAsia="en-US"/>
          </w:rPr>
          <w:t>artículo 233 de la LCSP 2017</w:t>
        </w:r>
      </w:hyperlink>
      <w:r w:rsidRPr="00F352D3">
        <w:rPr>
          <w:rFonts w:ascii="Tahoma" w:eastAsiaTheme="minorHAnsi" w:hAnsi="Tahoma" w:cs="Tahoma"/>
          <w:sz w:val="22"/>
          <w:szCs w:val="22"/>
          <w:lang w:eastAsia="en-US"/>
        </w:rPr>
        <w:t>.</w:t>
      </w:r>
    </w:p>
    <w:p w14:paraId="5CC6F9CB" w14:textId="77777777" w:rsidR="005F4B5F" w:rsidRPr="00F352D3" w:rsidRDefault="005F4B5F" w:rsidP="005F4B5F">
      <w:pPr>
        <w:spacing w:after="200" w:line="276" w:lineRule="auto"/>
        <w:jc w:val="center"/>
        <w:rPr>
          <w:rFonts w:ascii="Tahoma" w:eastAsiaTheme="minorHAnsi" w:hAnsi="Tahoma" w:cs="Tahoma"/>
          <w:b/>
          <w:color w:val="00B0F0"/>
          <w:sz w:val="22"/>
          <w:szCs w:val="22"/>
          <w:lang w:eastAsia="en-US"/>
        </w:rPr>
      </w:pPr>
      <w:r w:rsidRPr="00F352D3">
        <w:rPr>
          <w:rFonts w:ascii="Tahoma" w:eastAsiaTheme="minorHAnsi" w:hAnsi="Tahoma" w:cs="Tahoma"/>
          <w:b/>
          <w:color w:val="00B0F0"/>
          <w:sz w:val="22"/>
          <w:szCs w:val="22"/>
          <w:lang w:eastAsia="en-US"/>
        </w:rPr>
        <w:t>LICITACION Y ADJUDICACIÓN</w:t>
      </w:r>
    </w:p>
    <w:p w14:paraId="5869D1D0"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12.- Capacidad y solvencia. Clasificación</w:t>
      </w:r>
    </w:p>
    <w:p w14:paraId="6EA2F612" w14:textId="77777777" w:rsidR="005F4B5F" w:rsidRPr="00F352D3" w:rsidRDefault="005F4B5F" w:rsidP="005F4B5F">
      <w:pPr>
        <w:spacing w:after="200" w:line="276" w:lineRule="auto"/>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lastRenderedPageBreak/>
        <w:t>12.1 Capacidad</w:t>
      </w:r>
    </w:p>
    <w:p w14:paraId="7CC704C0"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Sólo podrán contratar con el sector público las personas naturales o jurídicas, españolas o extranjeras, que tengan plena capacidad de obrar, no estén incursas en alguna prohibición de contratar de las señaladas en al </w:t>
      </w:r>
      <w:hyperlink r:id="rId34" w:anchor="I523');" w:tooltip="enlace" w:history="1">
        <w:r w:rsidRPr="00F352D3">
          <w:rPr>
            <w:rFonts w:ascii="Tahoma" w:eastAsiaTheme="minorHAnsi" w:hAnsi="Tahoma" w:cs="Tahoma"/>
            <w:sz w:val="22"/>
            <w:szCs w:val="22"/>
            <w:lang w:eastAsia="en-US"/>
          </w:rPr>
          <w:t>artículo 71 de la LCSP 2017</w:t>
        </w:r>
      </w:hyperlink>
      <w:r w:rsidRPr="00F352D3">
        <w:rPr>
          <w:rFonts w:ascii="Tahoma" w:eastAsiaTheme="minorHAnsi" w:hAnsi="Tahoma" w:cs="Tahoma"/>
          <w:sz w:val="22"/>
          <w:szCs w:val="22"/>
          <w:lang w:eastAsia="en-US"/>
        </w:rPr>
        <w:t>, y acrediten su solvencia económica y financiera y técnica o profesional o, en los casos en que sea exigible, o se encuentren debidamente clasificadas.</w:t>
      </w:r>
    </w:p>
    <w:p w14:paraId="7A0E2F7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Cuando, por así determinarlo la normativa aplicable, se le requirieran al contratista determinados requisitos relativos a su organización, destino de sus beneficios, sistema de financiación u otros para poder participar en el correspondiente procedimiento de adjudicación, estos deberán ser acreditados por el licitador al concurrir en el mismo.</w:t>
      </w:r>
    </w:p>
    <w:p w14:paraId="0D3FA97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Los contratistas deberán contar, con la habilitación empresarial o profesional que, en su caso, sea exigible para la realización de las prestaciones que contribuyan al objeto del contrato.</w:t>
      </w:r>
    </w:p>
    <w:p w14:paraId="5E5628B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Las personas jurídicas sólo podrán ser adjudicatarias de contratos cuyas prestaciones estén comprendidas dentro de los fines, objeto o ámbito de actividad que, a tenor de sus estatutos o reglas fundacionales, les sean propios.</w:t>
      </w:r>
    </w:p>
    <w:p w14:paraId="2A646AB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En lo que respecta a las empresas comunitarias o de Estados signatarios del Acuerdo sobre el Espacio Económico Europeo y las empresas comunitarias se estará a lo dispuesto en los </w:t>
      </w:r>
      <w:hyperlink r:id="rId35" w:anchor="I498');" w:tooltip="enlace" w:history="1">
        <w:r w:rsidRPr="00F352D3">
          <w:rPr>
            <w:rFonts w:ascii="Tahoma" w:eastAsiaTheme="minorHAnsi" w:hAnsi="Tahoma" w:cs="Tahoma"/>
            <w:sz w:val="22"/>
            <w:szCs w:val="22"/>
            <w:lang w:eastAsia="en-US"/>
          </w:rPr>
          <w:t>artículos 67</w:t>
        </w:r>
      </w:hyperlink>
      <w:r w:rsidRPr="00F352D3">
        <w:rPr>
          <w:rFonts w:ascii="Tahoma" w:eastAsiaTheme="minorHAnsi" w:hAnsi="Tahoma" w:cs="Tahoma"/>
          <w:sz w:val="22"/>
          <w:szCs w:val="22"/>
          <w:lang w:eastAsia="en-US"/>
        </w:rPr>
        <w:t xml:space="preserve"> y </w:t>
      </w:r>
      <w:hyperlink r:id="rId36" w:anchor="I501');" w:tooltip="enlace" w:history="1">
        <w:r w:rsidRPr="00F352D3">
          <w:rPr>
            <w:rFonts w:ascii="Tahoma" w:eastAsiaTheme="minorHAnsi" w:hAnsi="Tahoma" w:cs="Tahoma"/>
            <w:sz w:val="22"/>
            <w:szCs w:val="22"/>
            <w:lang w:eastAsia="en-US"/>
          </w:rPr>
          <w:t>68 de la LCSP 2017</w:t>
        </w:r>
      </w:hyperlink>
      <w:r w:rsidRPr="00F352D3">
        <w:rPr>
          <w:rFonts w:ascii="Tahoma" w:eastAsiaTheme="minorHAnsi" w:hAnsi="Tahoma" w:cs="Tahoma"/>
          <w:sz w:val="22"/>
          <w:szCs w:val="22"/>
          <w:lang w:eastAsia="en-US"/>
        </w:rPr>
        <w:t>.</w:t>
      </w:r>
    </w:p>
    <w:p w14:paraId="695FBD5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Podrán contratar con el sector público las uniones de empresarios que se constituyan temporalmente al efecto, sin perjuicio de las facultades de la Mesa de Contratación cuando existan indicios de colusión, conforme al </w:t>
      </w:r>
      <w:hyperlink r:id="rId37" w:anchor="I504');" w:tooltip="enlace" w:history="1">
        <w:r w:rsidRPr="00F352D3">
          <w:rPr>
            <w:rFonts w:ascii="Tahoma" w:eastAsiaTheme="minorHAnsi" w:hAnsi="Tahoma" w:cs="Tahoma"/>
            <w:sz w:val="22"/>
            <w:szCs w:val="22"/>
            <w:lang w:eastAsia="en-US"/>
          </w:rPr>
          <w:t>artículo 69 de la LCSP 2017</w:t>
        </w:r>
      </w:hyperlink>
      <w:r w:rsidRPr="00F352D3">
        <w:rPr>
          <w:rFonts w:ascii="Tahoma" w:eastAsiaTheme="minorHAnsi" w:hAnsi="Tahoma" w:cs="Tahoma"/>
          <w:sz w:val="22"/>
          <w:szCs w:val="22"/>
          <w:lang w:eastAsia="en-US"/>
        </w:rPr>
        <w:t>, sin que sea necesaria la formalización de las mismas en escritura pública hasta que se haya efectuado la adjudicación del contrato a su favor.</w:t>
      </w:r>
    </w:p>
    <w:p w14:paraId="18EF5C9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Los empresarios que concurran agrupados en uniones temporales quedarán obligados solidariamente y deberán nombrar un representante o apoderado único de la unión con poderes bastantes para ejercitar los derechos y cumplir las obligaciones que del contrato se deriven hasta la extinción del mismo, sin perjuicio de la existencia de poderes mancomunados que puedan otorgar para cobros y pagos de cuantía significativa.</w:t>
      </w:r>
    </w:p>
    <w:p w14:paraId="31BEF5B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Los empresarios que deseen concurrir integrados en una unión temporal deberán indicar los nombres y circunstancias de los que la constituyan y la participación de cada uno, así como que asumen el compromiso de constituirse formalmente en unión temporal en caso de resultar adjudicatarios del contrato. La duración de las uniones temporales de empresarios será coincidente, al menos, con la del contrato hasta su extinción.</w:t>
      </w:r>
    </w:p>
    <w:p w14:paraId="05E5AC40"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órgano de contratación competente de la Entidad Local adoptará las medidas adecuadas para garantizar que la participación en la licitación de las empresas que hubieran participado previamente en la elaboración de las especificaciones técnicas o de los documentos preparatorios del contrato o hubieran asesorado al órgano de </w:t>
      </w:r>
      <w:r w:rsidRPr="00F352D3">
        <w:rPr>
          <w:rFonts w:ascii="Tahoma" w:eastAsiaTheme="minorHAnsi" w:hAnsi="Tahoma" w:cs="Tahoma"/>
          <w:sz w:val="22"/>
          <w:szCs w:val="22"/>
          <w:lang w:eastAsia="en-US"/>
        </w:rPr>
        <w:lastRenderedPageBreak/>
        <w:t>contratación durante la preparación del procedimiento de contratación, no falsee la competencia. Entre tales medidas podrá llegar a establecerse que las citadas empresas, y las empresas a ellas vinculadas, puedan ser excluidas, cuando no haya otro medio de garantizar el cumplimiento del principio de igualdad de trato.</w:t>
      </w:r>
    </w:p>
    <w:p w14:paraId="570DD842" w14:textId="77777777" w:rsidR="005F4B5F" w:rsidRPr="00F352D3" w:rsidRDefault="005F4B5F" w:rsidP="005F4B5F">
      <w:pPr>
        <w:spacing w:after="200" w:line="276" w:lineRule="auto"/>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12.2 Solvencia</w:t>
      </w:r>
    </w:p>
    <w:p w14:paraId="492E40FB"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Los empresarios deberán acreditar estar en posesión de las condiciones mínimas de solvencia económica y financiera y profesional o técnica de conformidad con lo previsto en los </w:t>
      </w:r>
      <w:hyperlink r:id="rId38" w:anchor="I616');" w:tooltip="enlace" w:history="1">
        <w:r w:rsidRPr="00F352D3">
          <w:rPr>
            <w:rFonts w:ascii="Tahoma" w:eastAsiaTheme="minorHAnsi" w:hAnsi="Tahoma" w:cs="Tahoma"/>
            <w:sz w:val="22"/>
            <w:szCs w:val="22"/>
            <w:lang w:eastAsia="en-US"/>
          </w:rPr>
          <w:t>artículos 86 a</w:t>
        </w:r>
      </w:hyperlink>
      <w:hyperlink r:id="rId39" w:anchor="I631');" w:tooltip="enlace" w:history="1">
        <w:r w:rsidRPr="00F352D3">
          <w:rPr>
            <w:rFonts w:ascii="Tahoma" w:eastAsiaTheme="minorHAnsi" w:hAnsi="Tahoma" w:cs="Tahoma"/>
            <w:sz w:val="22"/>
            <w:szCs w:val="22"/>
            <w:lang w:eastAsia="en-US"/>
          </w:rPr>
          <w:t>88 de la LCSP 2017</w:t>
        </w:r>
      </w:hyperlink>
      <w:r w:rsidRPr="00F352D3">
        <w:rPr>
          <w:rFonts w:ascii="Tahoma" w:eastAsiaTheme="minorHAnsi" w:hAnsi="Tahoma" w:cs="Tahoma"/>
          <w:sz w:val="22"/>
          <w:szCs w:val="22"/>
          <w:lang w:eastAsia="en-US"/>
        </w:rPr>
        <w:t xml:space="preserve">, que se señalan en el </w:t>
      </w:r>
      <w:r w:rsidRPr="00F352D3">
        <w:rPr>
          <w:rFonts w:ascii="Tahoma" w:eastAsiaTheme="minorHAnsi" w:hAnsi="Tahoma" w:cs="Tahoma"/>
          <w:color w:val="00B050"/>
          <w:sz w:val="22"/>
          <w:szCs w:val="22"/>
          <w:lang w:eastAsia="en-US"/>
        </w:rPr>
        <w:t>apartado 6 del Cuadro de Características del Contrato,</w:t>
      </w:r>
      <w:r w:rsidRPr="00F352D3">
        <w:rPr>
          <w:rFonts w:ascii="Tahoma" w:eastAsiaTheme="minorHAnsi" w:hAnsi="Tahoma" w:cs="Tahoma"/>
          <w:sz w:val="22"/>
          <w:szCs w:val="22"/>
          <w:lang w:eastAsia="en-US"/>
        </w:rPr>
        <w:t xml:space="preserve"> requisito será sustituido por el de la clasificación,  exigible según el </w:t>
      </w:r>
      <w:r w:rsidRPr="00F352D3">
        <w:rPr>
          <w:rFonts w:ascii="Tahoma" w:eastAsiaTheme="minorHAnsi" w:hAnsi="Tahoma" w:cs="Tahoma"/>
          <w:color w:val="00B050"/>
          <w:sz w:val="22"/>
          <w:szCs w:val="22"/>
          <w:lang w:eastAsia="en-US"/>
        </w:rPr>
        <w:t>apartado 7 del Cuadro de Características del Contrato</w:t>
      </w:r>
      <w:r w:rsidRPr="00F352D3">
        <w:rPr>
          <w:rFonts w:ascii="Tahoma" w:eastAsiaTheme="minorHAnsi" w:hAnsi="Tahoma" w:cs="Tahoma"/>
          <w:sz w:val="22"/>
          <w:szCs w:val="22"/>
          <w:lang w:eastAsia="en-US"/>
        </w:rPr>
        <w:t>.</w:t>
      </w:r>
    </w:p>
    <w:p w14:paraId="0E7FB15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Tales condiciones mínimas de solvencia se acreditarán en la forma señalada en el anuncio y en el citado apartado.</w:t>
      </w:r>
    </w:p>
    <w:p w14:paraId="53C2BCA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Para acreditarse la solvencia necesaria,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w:t>
      </w:r>
    </w:p>
    <w:p w14:paraId="70CD3EE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las mismas condiciones, los empresarios que concurran agrupados en las uniones temporales, podrán recurrir a las capacidades de entidades ajenas a la unión temporal.</w:t>
      </w:r>
    </w:p>
    <w:p w14:paraId="0CF2AF4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Para ello la empresa que desee recurrir a las capacidades de otras entidades, demostrará que va a disponer de los recursos necesarios mediante la presentación a tal efecto del compromiso por escrito de dichas entidades, compromiso que se presentará por el licitador que hubiera presentado la mejor oferta de conformidad con lo dispuesto en el </w:t>
      </w:r>
      <w:hyperlink r:id="rId40" w:anchor="I1130');" w:tooltip="enlace" w:history="1">
        <w:r w:rsidRPr="00F352D3">
          <w:rPr>
            <w:rFonts w:ascii="Tahoma" w:eastAsiaTheme="minorHAnsi" w:hAnsi="Tahoma" w:cs="Tahoma"/>
            <w:sz w:val="22"/>
            <w:szCs w:val="22"/>
            <w:lang w:eastAsia="en-US"/>
          </w:rPr>
          <w:t>artículo 150 de la LCSP 2017</w:t>
        </w:r>
      </w:hyperlink>
      <w:r w:rsidRPr="00F352D3">
        <w:rPr>
          <w:rFonts w:ascii="Tahoma" w:eastAsiaTheme="minorHAnsi" w:hAnsi="Tahoma" w:cs="Tahoma"/>
          <w:sz w:val="22"/>
          <w:szCs w:val="22"/>
          <w:lang w:eastAsia="en-US"/>
        </w:rPr>
        <w:t>, previo requerimiento a tal efecto.</w:t>
      </w:r>
    </w:p>
    <w:p w14:paraId="553C348D" w14:textId="77777777" w:rsidR="005F4B5F" w:rsidRPr="00F352D3" w:rsidRDefault="005F4B5F" w:rsidP="005F4B5F">
      <w:pPr>
        <w:spacing w:after="200" w:line="276" w:lineRule="auto"/>
        <w:jc w:val="both"/>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12.3 Clasificación</w:t>
      </w:r>
    </w:p>
    <w:p w14:paraId="01B8F0AD"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sz w:val="22"/>
          <w:szCs w:val="22"/>
          <w:lang w:eastAsia="en-US"/>
        </w:rPr>
        <w:t xml:space="preserve">La clasificación del empresario en el grupo o subgrupo acreditará su solvencia económica y financiera y solvencia técnica para contratar. El empresario en tal caso podrá acreditar su solvencia indistintamente mediante su clasificación como contratista de obras en el grupo o subgrupo de clasificación correspondiente al contrato o bien acreditando el cumplimiento de los requisitos específicos de solvencia exigidos en el anuncio de licitación y detallados en el </w:t>
      </w:r>
      <w:r w:rsidRPr="00F352D3">
        <w:rPr>
          <w:rFonts w:ascii="Tahoma" w:eastAsiaTheme="minorHAnsi" w:hAnsi="Tahoma" w:cs="Tahoma"/>
          <w:color w:val="00B050"/>
          <w:sz w:val="22"/>
          <w:szCs w:val="22"/>
          <w:lang w:eastAsia="en-US"/>
        </w:rPr>
        <w:t>apartado 7</w:t>
      </w:r>
    </w:p>
    <w:p w14:paraId="2EF5BC18"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13.- Inscripción en el Registro Oficial de Licitadores y Empresas Clasificadas del Sector Público</w:t>
      </w:r>
    </w:p>
    <w:p w14:paraId="243DB4B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Todos los licitadores que se presenten a licitaciones realizadas a través de este procedimiento simplificado deberán estar inscritos en el Registro Oficial de Licitadores y Empresas Clasificadas del Sector Público, o cuando proceda en el Registro Oficial de la correspondiente Comunidad Autónoma, en la fecha final de presentación de ofertas siempre que no se vea limitada la concurrencia.</w:t>
      </w:r>
    </w:p>
    <w:p w14:paraId="6E4BCD90"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lastRenderedPageBreak/>
        <w:t>Cláusula 14.- Criterios de adjudicación y desempate</w:t>
      </w:r>
    </w:p>
    <w:p w14:paraId="6D1A06C5"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sz w:val="22"/>
          <w:szCs w:val="22"/>
          <w:lang w:eastAsia="en-US"/>
        </w:rPr>
        <w:t xml:space="preserve">Para la adjudicación del contrato se tendrán en cuenta los criterios de adjudicación del contrato con la ponderación relativa de los mismos, en su caso, el orden decreciente de importancia que se les atribuye en el </w:t>
      </w:r>
      <w:r w:rsidRPr="00F352D3">
        <w:rPr>
          <w:rFonts w:ascii="Tahoma" w:eastAsiaTheme="minorHAnsi" w:hAnsi="Tahoma" w:cs="Tahoma"/>
          <w:color w:val="00B050"/>
          <w:sz w:val="22"/>
          <w:szCs w:val="22"/>
          <w:lang w:eastAsia="en-US"/>
        </w:rPr>
        <w:t>apartado 9del Cuadro de Características del Contrato.</w:t>
      </w:r>
    </w:p>
    <w:p w14:paraId="1A829E5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Cuando tras la aplicación de los criterios de adjudicación, se produzca un empate entre dos o más ofertas se aplicarán los criterios vinculados al objeto del contrato, que se señalen, en su caso, en el mencionado apartado 9 conforme al apartado 1 del artículo 145 ter, y en su defecto, el empate se resolverá, mediante la aplicación por orden de los siguientes criterios sociales, referidos al momento de finalizar el plazo de presentación de ofertas:</w:t>
      </w:r>
    </w:p>
    <w:p w14:paraId="2001434D"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bookmarkStart w:id="1" w:name="_Hlk1557482"/>
      <w:r w:rsidRPr="00F352D3">
        <w:rPr>
          <w:rFonts w:ascii="Tahoma" w:eastAsiaTheme="minorHAnsi" w:hAnsi="Tahoma" w:cs="Tahoma"/>
          <w:color w:val="00B050"/>
          <w:sz w:val="22"/>
          <w:szCs w:val="22"/>
          <w:lang w:eastAsia="en-US"/>
        </w:rPr>
        <w:t>- Menor precio</w:t>
      </w:r>
    </w:p>
    <w:bookmarkEnd w:id="1"/>
    <w:p w14:paraId="6B7FB6B0"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color w:val="00B050"/>
          <w:sz w:val="22"/>
          <w:szCs w:val="22"/>
          <w:lang w:eastAsia="en-US"/>
        </w:rPr>
        <w:t>- Menor plazo de ejecución</w:t>
      </w:r>
    </w:p>
    <w:p w14:paraId="1D90765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 Mayor plazo de garantía</w:t>
      </w:r>
    </w:p>
    <w:p w14:paraId="4A190A4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 Mayor porcentaje de trabajadores con discapacidad</w:t>
      </w:r>
      <w:r w:rsidRPr="00F352D3">
        <w:rPr>
          <w:rFonts w:ascii="Tahoma" w:eastAsiaTheme="minorHAnsi" w:hAnsi="Tahoma" w:cs="Tahoma"/>
          <w:sz w:val="22"/>
          <w:szCs w:val="22"/>
          <w:lang w:eastAsia="en-US"/>
        </w:rPr>
        <w:t xml:space="preserve"> o en situación de exclusión social en la plantilla de cada una de las empresas, primando en caso de igualdad, el mayor número de trabajadores fijos con discapacidad en plantilla, o el mayor número de personas trabajadoras en inclusión en la plantilla.</w:t>
      </w:r>
    </w:p>
    <w:p w14:paraId="3DAC0662"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 Menor porcentaje de contratos</w:t>
      </w:r>
      <w:r w:rsidRPr="00F352D3">
        <w:rPr>
          <w:rFonts w:ascii="Tahoma" w:eastAsiaTheme="minorHAnsi" w:hAnsi="Tahoma" w:cs="Tahoma"/>
          <w:sz w:val="22"/>
          <w:szCs w:val="22"/>
          <w:lang w:eastAsia="en-US"/>
        </w:rPr>
        <w:t xml:space="preserve"> temporales en la plantilla de cada una de las empresas.</w:t>
      </w:r>
    </w:p>
    <w:p w14:paraId="0B7DA71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 </w:t>
      </w:r>
      <w:r w:rsidRPr="00F352D3">
        <w:rPr>
          <w:rFonts w:ascii="Tahoma" w:eastAsiaTheme="minorHAnsi" w:hAnsi="Tahoma" w:cs="Tahoma"/>
          <w:color w:val="00B050"/>
          <w:sz w:val="22"/>
          <w:szCs w:val="22"/>
          <w:lang w:eastAsia="en-US"/>
        </w:rPr>
        <w:t>Mayor porcentaje de mujeres</w:t>
      </w:r>
      <w:r w:rsidRPr="00F352D3">
        <w:rPr>
          <w:rFonts w:ascii="Tahoma" w:eastAsiaTheme="minorHAnsi" w:hAnsi="Tahoma" w:cs="Tahoma"/>
          <w:sz w:val="22"/>
          <w:szCs w:val="22"/>
          <w:lang w:eastAsia="en-US"/>
        </w:rPr>
        <w:t xml:space="preserve"> empleadas en la plantilla de cada una de las empresas.</w:t>
      </w:r>
    </w:p>
    <w:p w14:paraId="6E8097E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 El sorteo</w:t>
      </w:r>
      <w:r w:rsidRPr="00F352D3">
        <w:rPr>
          <w:rFonts w:ascii="Tahoma" w:eastAsiaTheme="minorHAnsi" w:hAnsi="Tahoma" w:cs="Tahoma"/>
          <w:sz w:val="22"/>
          <w:szCs w:val="22"/>
          <w:lang w:eastAsia="en-US"/>
        </w:rPr>
        <w:t>, en caso de que la aplicación de los anteriores criterios no hubiera dado lugar a desempate.</w:t>
      </w:r>
    </w:p>
    <w:p w14:paraId="5650D56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documentación acreditativa de los criterios de desempate será aportada por los licitadores en el momento en que se produzca el empate, y no con carácter previo</w:t>
      </w:r>
    </w:p>
    <w:p w14:paraId="7618CCAD"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15.- Presentación de proposiciones</w:t>
      </w:r>
    </w:p>
    <w:p w14:paraId="30710262"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Las proposiciones de los interesados deberán ajustarse a los pliegos y documentación que rigen la licitación, y su presentación supone la aceptación incondicionada por el empresario del contenido de la totalidad de sus cláusulas o condiciones, sin salvedad o reserva alguna, así como la autorización a la mesa y al órgano de contratación para consultar los datos recogidos en el Registro Oficial de Licitadores y Empresas Clasificadas del Sector Público o en las listas oficiales de operadores económicos de un Estado miembro de la Unión Europea.</w:t>
      </w:r>
    </w:p>
    <w:p w14:paraId="7A75350D"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Las proposiciones serán secretas y se arbitrarán los medios que garanticen tal carácter hasta el momento de apertura de las proposiciones.</w:t>
      </w:r>
    </w:p>
    <w:p w14:paraId="7D81308D"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Cada licitador no podrá presentar más de una proposición.</w:t>
      </w:r>
    </w:p>
    <w:p w14:paraId="603082BD"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lastRenderedPageBreak/>
        <w:t>Tampoco podrá suscribir ninguna propuesta en unión temporal con otros si lo ha hecho individualmente o figurar en más de una unión temporal.</w:t>
      </w:r>
    </w:p>
    <w:p w14:paraId="40146DB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infracción de estas normas dará lugar a la no admisión de todas las propuestas por él suscritas.</w:t>
      </w:r>
    </w:p>
    <w:p w14:paraId="6AC101C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la proposición deberá indicarse, como partida independiente, el importe del Impuesto sobre el Valor Añadido que deba ser repercutido.</w:t>
      </w:r>
    </w:p>
    <w:p w14:paraId="096D3CE2" w14:textId="77777777" w:rsidR="005F4B5F" w:rsidRPr="00F352D3" w:rsidRDefault="005F4B5F" w:rsidP="005F4B5F">
      <w:pPr>
        <w:spacing w:after="200" w:line="276" w:lineRule="auto"/>
        <w:jc w:val="both"/>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1.- Medios</w:t>
      </w:r>
    </w:p>
    <w:p w14:paraId="3EC54F9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Conforme determina la </w:t>
      </w:r>
      <w:hyperlink r:id="rId41" w:anchor="I2574');" w:tooltip="enlace" w:history="1">
        <w:r w:rsidRPr="00F352D3">
          <w:rPr>
            <w:rFonts w:ascii="Tahoma" w:eastAsiaTheme="minorHAnsi" w:hAnsi="Tahoma" w:cs="Tahoma"/>
            <w:sz w:val="22"/>
            <w:szCs w:val="22"/>
            <w:lang w:eastAsia="en-US"/>
          </w:rPr>
          <w:t>Disposición adicional decimoquinta de la LCSP 2017</w:t>
        </w:r>
      </w:hyperlink>
      <w:r w:rsidRPr="00F352D3">
        <w:rPr>
          <w:rFonts w:ascii="Tahoma" w:eastAsiaTheme="minorHAnsi" w:hAnsi="Tahoma" w:cs="Tahoma"/>
          <w:sz w:val="22"/>
          <w:szCs w:val="22"/>
          <w:lang w:eastAsia="en-US"/>
        </w:rPr>
        <w:t>, en el apartado 3 que literalmente dice:</w:t>
      </w:r>
    </w:p>
    <w:p w14:paraId="328A409F" w14:textId="77777777" w:rsidR="005F4B5F" w:rsidRPr="00F352D3" w:rsidRDefault="005F4B5F" w:rsidP="005F4B5F">
      <w:pPr>
        <w:spacing w:after="200" w:line="276" w:lineRule="auto"/>
        <w:jc w:val="both"/>
        <w:rPr>
          <w:rFonts w:ascii="Tahoma" w:eastAsiaTheme="minorHAnsi" w:hAnsi="Tahoma" w:cs="Tahoma"/>
          <w:color w:val="333333"/>
          <w:sz w:val="18"/>
          <w:szCs w:val="18"/>
          <w:lang w:eastAsia="en-US"/>
        </w:rPr>
      </w:pPr>
      <w:r w:rsidRPr="00F352D3">
        <w:rPr>
          <w:rFonts w:ascii="Tahoma" w:eastAsiaTheme="minorHAnsi" w:hAnsi="Tahoma" w:cs="Tahoma"/>
          <w:color w:val="333333"/>
          <w:sz w:val="18"/>
          <w:szCs w:val="18"/>
          <w:lang w:eastAsia="en-US"/>
        </w:rPr>
        <w:t>“3. Las comunicaciones, los intercambios y el almacenamiento de información se realizarán de modo que se garantice la protección de la integridad de los datos y la confidencialidad de las ofertas y de las solicitudes de participación, así como que el contenido de las ofertas y de las solicitudes de participación no será conocido hasta después de finalizado el plazo para su presentación o hasta el momento fijado para su apertura.”</w:t>
      </w:r>
    </w:p>
    <w:p w14:paraId="7CDDF08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333333"/>
          <w:sz w:val="22"/>
          <w:szCs w:val="22"/>
          <w:lang w:eastAsia="en-US"/>
        </w:rPr>
        <w:t xml:space="preserve">Y la </w:t>
      </w:r>
      <w:hyperlink r:id="rId42" w:anchor="I2574');" w:tooltip="enlace" w:history="1">
        <w:r w:rsidRPr="00F352D3">
          <w:rPr>
            <w:rFonts w:ascii="Tahoma" w:eastAsiaTheme="minorHAnsi" w:hAnsi="Tahoma" w:cs="Tahoma"/>
            <w:sz w:val="22"/>
            <w:szCs w:val="22"/>
            <w:lang w:eastAsia="en-US"/>
          </w:rPr>
          <w:t>Disposición adicional decimoquinta de la LCSP 2017</w:t>
        </w:r>
      </w:hyperlink>
      <w:r w:rsidRPr="00F352D3">
        <w:rPr>
          <w:rFonts w:ascii="Tahoma" w:eastAsiaTheme="minorHAnsi" w:hAnsi="Tahoma" w:cs="Tahoma"/>
          <w:sz w:val="22"/>
          <w:szCs w:val="22"/>
          <w:lang w:eastAsia="en-US"/>
        </w:rPr>
        <w:t xml:space="preserve"> que literalmente dice</w:t>
      </w:r>
    </w:p>
    <w:p w14:paraId="69611992" w14:textId="77777777" w:rsidR="005F4B5F" w:rsidRPr="00F352D3" w:rsidRDefault="005F4B5F" w:rsidP="005F4B5F">
      <w:pPr>
        <w:spacing w:before="360" w:after="180"/>
        <w:jc w:val="both"/>
        <w:rPr>
          <w:rFonts w:ascii="Tahoma" w:hAnsi="Tahoma" w:cs="Tahoma"/>
          <w:b/>
          <w:bCs/>
          <w:color w:val="333333"/>
          <w:sz w:val="16"/>
          <w:szCs w:val="16"/>
        </w:rPr>
      </w:pPr>
      <w:r w:rsidRPr="00F352D3">
        <w:rPr>
          <w:rFonts w:ascii="Tahoma" w:hAnsi="Tahoma" w:cs="Tahoma"/>
          <w:b/>
          <w:bCs/>
          <w:color w:val="333333"/>
          <w:sz w:val="16"/>
          <w:szCs w:val="16"/>
        </w:rPr>
        <w:t>“Disposición adicional decimosexta. Uso de medios electrónicos, informáticos y telemáticos en los procedimientos regulados en la Ley.</w:t>
      </w:r>
    </w:p>
    <w:p w14:paraId="4D1EEE99" w14:textId="77777777" w:rsidR="005F4B5F" w:rsidRPr="00F352D3" w:rsidRDefault="005F4B5F" w:rsidP="005F4B5F">
      <w:pPr>
        <w:spacing w:before="180" w:after="180"/>
        <w:jc w:val="both"/>
        <w:rPr>
          <w:rFonts w:ascii="Tahoma" w:hAnsi="Tahoma" w:cs="Tahoma"/>
          <w:color w:val="333333"/>
          <w:sz w:val="18"/>
          <w:szCs w:val="18"/>
        </w:rPr>
      </w:pPr>
      <w:r w:rsidRPr="00F352D3">
        <w:rPr>
          <w:rFonts w:ascii="Tahoma" w:hAnsi="Tahoma" w:cs="Tahoma"/>
          <w:color w:val="333333"/>
          <w:sz w:val="18"/>
          <w:szCs w:val="18"/>
        </w:rPr>
        <w:t>1. El empleo de medios electrónicos, informáticos y telemáticos en los procedimientos contemplados en esta Ley se ajustará a las normas siguientes:</w:t>
      </w:r>
    </w:p>
    <w:p w14:paraId="36B44763" w14:textId="77777777" w:rsidR="005F4B5F" w:rsidRPr="00F352D3" w:rsidRDefault="005F4B5F" w:rsidP="005F4B5F">
      <w:pPr>
        <w:spacing w:before="360" w:after="180"/>
        <w:jc w:val="both"/>
        <w:rPr>
          <w:rFonts w:ascii="Tahoma" w:hAnsi="Tahoma" w:cs="Tahoma"/>
          <w:color w:val="333333"/>
          <w:sz w:val="18"/>
          <w:szCs w:val="18"/>
        </w:rPr>
      </w:pPr>
      <w:r w:rsidRPr="00F352D3">
        <w:rPr>
          <w:rFonts w:ascii="Tahoma" w:hAnsi="Tahoma" w:cs="Tahoma"/>
          <w:color w:val="333333"/>
          <w:sz w:val="18"/>
          <w:szCs w:val="18"/>
        </w:rPr>
        <w:t>a) Los medios electrónicos, informáticos y telemáticos utilizables deberán ser no discriminatorios, estar a disposición del público y ser compatibles con las tecnologías de la información y de la comunicación de uso general.</w:t>
      </w:r>
    </w:p>
    <w:p w14:paraId="3D2378B5" w14:textId="77777777" w:rsidR="005F4B5F" w:rsidRPr="00F352D3" w:rsidRDefault="005F4B5F" w:rsidP="005F4B5F">
      <w:pPr>
        <w:spacing w:before="180" w:after="180"/>
        <w:jc w:val="both"/>
        <w:rPr>
          <w:rFonts w:ascii="Tahoma" w:hAnsi="Tahoma" w:cs="Tahoma"/>
          <w:color w:val="333333"/>
          <w:sz w:val="18"/>
          <w:szCs w:val="18"/>
        </w:rPr>
      </w:pPr>
      <w:r w:rsidRPr="00F352D3">
        <w:rPr>
          <w:rFonts w:ascii="Tahoma" w:hAnsi="Tahoma" w:cs="Tahoma"/>
          <w:color w:val="333333"/>
          <w:sz w:val="18"/>
          <w:szCs w:val="18"/>
        </w:rPr>
        <w:t>b) La información y las especificaciones técnicas necesarias para la presentación electrónica de las ofertas y solicitudes de participación deberán estar a disposición de todas las partes interesadas, no ser discriminatorios y ser conformes con estándares abiertos, de uso general y amplia implantación.</w:t>
      </w:r>
    </w:p>
    <w:p w14:paraId="14DA8622" w14:textId="77777777" w:rsidR="005F4B5F" w:rsidRPr="00F352D3" w:rsidRDefault="005F4B5F" w:rsidP="005F4B5F">
      <w:pPr>
        <w:spacing w:before="180" w:after="180"/>
        <w:jc w:val="both"/>
        <w:rPr>
          <w:rFonts w:ascii="Tahoma" w:hAnsi="Tahoma" w:cs="Tahoma"/>
          <w:color w:val="333333"/>
          <w:sz w:val="18"/>
          <w:szCs w:val="18"/>
          <w:u w:val="single"/>
        </w:rPr>
      </w:pPr>
      <w:r w:rsidRPr="00F352D3">
        <w:rPr>
          <w:rFonts w:ascii="Tahoma" w:hAnsi="Tahoma" w:cs="Tahoma"/>
          <w:color w:val="333333"/>
          <w:sz w:val="18"/>
          <w:szCs w:val="18"/>
          <w:u w:val="single"/>
        </w:rPr>
        <w:t>c) Los programas y aplicaciones necesarios para la presentación electrónica de las ofertas y solicitudes de participación deberán ser de amplio uso, fácil acceso y no discriminatorios, o deberán ponerse a disposición de los interesados por el órgano de contratación.”</w:t>
      </w:r>
    </w:p>
    <w:p w14:paraId="1E5879AE" w14:textId="77777777" w:rsidR="005F4B5F" w:rsidRPr="00F352D3" w:rsidRDefault="005F4B5F" w:rsidP="005F4B5F">
      <w:pPr>
        <w:spacing w:before="100" w:beforeAutospacing="1" w:after="100" w:afterAutospacing="1"/>
        <w:jc w:val="both"/>
        <w:rPr>
          <w:rFonts w:ascii="Tahoma" w:hAnsi="Tahoma" w:cs="Tahoma"/>
          <w:b/>
          <w:color w:val="C00000"/>
          <w:sz w:val="22"/>
          <w:szCs w:val="22"/>
        </w:rPr>
      </w:pPr>
      <w:r w:rsidRPr="00F352D3">
        <w:rPr>
          <w:rFonts w:ascii="Tahoma" w:eastAsiaTheme="minorHAnsi" w:hAnsi="Tahoma" w:cs="Tahoma"/>
          <w:b/>
          <w:color w:val="C00000"/>
          <w:sz w:val="22"/>
          <w:szCs w:val="22"/>
          <w:lang w:eastAsia="en-US"/>
        </w:rPr>
        <w:t>Dado que este Ayuntamiento a día de hoy carece de programas para poder realizar la contratación electrónica la presentación se realizara</w:t>
      </w:r>
      <w:r w:rsidRPr="00F352D3">
        <w:rPr>
          <w:rFonts w:ascii="Tahoma" w:hAnsi="Tahoma" w:cs="Tahoma"/>
          <w:b/>
          <w:color w:val="C00000"/>
          <w:sz w:val="22"/>
          <w:szCs w:val="22"/>
        </w:rPr>
        <w:t>conforme determina la cláusula decimosexta</w:t>
      </w:r>
    </w:p>
    <w:p w14:paraId="4340CBF2" w14:textId="77777777" w:rsidR="005F4B5F" w:rsidRPr="00F352D3" w:rsidRDefault="005F4B5F" w:rsidP="005F4B5F">
      <w:pPr>
        <w:spacing w:after="200" w:line="276" w:lineRule="auto"/>
        <w:jc w:val="both"/>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2.- Acceso a los pliegos y demás documentación complementaria</w:t>
      </w:r>
    </w:p>
    <w:p w14:paraId="27DCE48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acceso a los pliegos y demás documentación complementaria se ofrecerá por esta Entidad Local a través del perfil de contratante por medios electrónicos, acceso que será libre, directo, completo y gratuito, y que se efectuará desde la fecha de la publicación del anuncio de licitación.</w:t>
      </w:r>
    </w:p>
    <w:p w14:paraId="60389C5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De acuerdo con lo señalado en el </w:t>
      </w:r>
      <w:hyperlink r:id="rId43" w:anchor="I1195');" w:tooltip="enlace" w:history="1">
        <w:r w:rsidRPr="00F352D3">
          <w:rPr>
            <w:rFonts w:ascii="Tahoma" w:eastAsiaTheme="minorHAnsi" w:hAnsi="Tahoma" w:cs="Tahoma"/>
            <w:sz w:val="22"/>
            <w:szCs w:val="22"/>
            <w:lang w:eastAsia="en-US"/>
          </w:rPr>
          <w:t>artículo 159.2 de la LCSP 2017</w:t>
        </w:r>
      </w:hyperlink>
      <w:r w:rsidRPr="00F352D3">
        <w:rPr>
          <w:rFonts w:ascii="Tahoma" w:eastAsiaTheme="minorHAnsi" w:hAnsi="Tahoma" w:cs="Tahoma"/>
          <w:sz w:val="22"/>
          <w:szCs w:val="22"/>
          <w:lang w:eastAsia="en-US"/>
        </w:rPr>
        <w:t xml:space="preserve"> toda la documentación necesaria para la presentación de la oferta estará disponible por </w:t>
      </w:r>
      <w:r w:rsidRPr="00F352D3">
        <w:rPr>
          <w:rFonts w:ascii="Tahoma" w:eastAsiaTheme="minorHAnsi" w:hAnsi="Tahoma" w:cs="Tahoma"/>
          <w:sz w:val="22"/>
          <w:szCs w:val="22"/>
          <w:lang w:eastAsia="en-US"/>
        </w:rPr>
        <w:lastRenderedPageBreak/>
        <w:t>medios electrónicos desde el día de la publicación del anuncio en dicho perfil de contratante.</w:t>
      </w:r>
    </w:p>
    <w:p w14:paraId="76D26209" w14:textId="77777777" w:rsidR="005F4B5F" w:rsidRPr="00F352D3" w:rsidRDefault="005F4B5F" w:rsidP="005F4B5F">
      <w:pPr>
        <w:spacing w:after="200" w:line="276" w:lineRule="auto"/>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3.- Información adicional</w:t>
      </w:r>
    </w:p>
    <w:p w14:paraId="0007E87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Los órganos de contratación de la Entidad Local proporcionarán a todos los interesados en el procedimiento de licitación, a más tardar </w:t>
      </w:r>
      <w:r w:rsidRPr="00F352D3">
        <w:rPr>
          <w:rFonts w:ascii="Tahoma" w:eastAsiaTheme="minorHAnsi" w:hAnsi="Tahoma" w:cs="Tahoma"/>
          <w:color w:val="00B050"/>
          <w:sz w:val="22"/>
          <w:szCs w:val="22"/>
          <w:lang w:eastAsia="en-US"/>
        </w:rPr>
        <w:t>6 días antes de que finalice el plazo fijado para la presentación de ofertas,</w:t>
      </w:r>
      <w:r w:rsidRPr="00F352D3">
        <w:rPr>
          <w:rFonts w:ascii="Tahoma" w:eastAsiaTheme="minorHAnsi" w:hAnsi="Tahoma" w:cs="Tahoma"/>
          <w:sz w:val="22"/>
          <w:szCs w:val="22"/>
          <w:lang w:eastAsia="en-US"/>
        </w:rPr>
        <w:t xml:space="preserve"> la información adicional sobre los pliegos y demás documentación complementaria que éstos soliciten, a condición de que la hubieren pedido al </w:t>
      </w:r>
      <w:r w:rsidRPr="00F352D3">
        <w:rPr>
          <w:rFonts w:ascii="Tahoma" w:eastAsiaTheme="minorHAnsi" w:hAnsi="Tahoma" w:cs="Tahoma"/>
          <w:color w:val="00B050"/>
          <w:sz w:val="22"/>
          <w:szCs w:val="22"/>
          <w:lang w:eastAsia="en-US"/>
        </w:rPr>
        <w:t>menos 12 días antes del transcurso del plazo</w:t>
      </w:r>
      <w:r w:rsidRPr="00F352D3">
        <w:rPr>
          <w:rFonts w:ascii="Tahoma" w:eastAsiaTheme="minorHAnsi" w:hAnsi="Tahoma" w:cs="Tahoma"/>
          <w:sz w:val="22"/>
          <w:szCs w:val="22"/>
          <w:lang w:eastAsia="en-US"/>
        </w:rPr>
        <w:t xml:space="preserve"> de presentación de las proposiciones. </w:t>
      </w:r>
    </w:p>
    <w:p w14:paraId="4A6DADA4" w14:textId="77777777" w:rsidR="005F4B5F" w:rsidRPr="00F352D3" w:rsidRDefault="005F4B5F" w:rsidP="005F4B5F">
      <w:pPr>
        <w:spacing w:after="200" w:line="276" w:lineRule="auto"/>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4.- Lugar y plazo</w:t>
      </w:r>
    </w:p>
    <w:p w14:paraId="6CAB3DF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Las proposiciones se presentarán en el lugar y plazo señalado en el anuncio de licitación publicado en el Perfil del Contratante.</w:t>
      </w:r>
    </w:p>
    <w:p w14:paraId="007484CC"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sz w:val="22"/>
          <w:szCs w:val="22"/>
          <w:lang w:eastAsia="en-US"/>
        </w:rPr>
        <w:t xml:space="preserve">El plazo para presentar las proposiciones será como mínimo de </w:t>
      </w:r>
      <w:r w:rsidRPr="00F352D3">
        <w:rPr>
          <w:rFonts w:ascii="Tahoma" w:eastAsiaTheme="minorHAnsi" w:hAnsi="Tahoma" w:cs="Tahoma"/>
          <w:color w:val="002060"/>
          <w:sz w:val="22"/>
          <w:szCs w:val="22"/>
          <w:lang w:eastAsia="en-US"/>
        </w:rPr>
        <w:t>veinte días, contados desde el día siguiente al de la publicación del anuncio de licitación</w:t>
      </w:r>
      <w:r w:rsidRPr="00F352D3">
        <w:rPr>
          <w:rFonts w:ascii="Tahoma" w:eastAsiaTheme="minorHAnsi" w:hAnsi="Tahoma" w:cs="Tahoma"/>
          <w:sz w:val="22"/>
          <w:szCs w:val="22"/>
          <w:lang w:eastAsia="en-US"/>
        </w:rPr>
        <w:t xml:space="preserve"> del contrato en el perfil de contratante conforme al </w:t>
      </w:r>
      <w:hyperlink r:id="rId44" w:anchor="I1195');" w:tooltip="enlace" w:history="1">
        <w:r w:rsidRPr="00F352D3">
          <w:rPr>
            <w:rFonts w:ascii="Tahoma" w:eastAsiaTheme="minorHAnsi" w:hAnsi="Tahoma" w:cs="Tahoma"/>
            <w:sz w:val="22"/>
            <w:szCs w:val="22"/>
            <w:lang w:eastAsia="en-US"/>
          </w:rPr>
          <w:t>artículo 159 de la LCSP 2017</w:t>
        </w:r>
      </w:hyperlink>
      <w:r w:rsidRPr="00F352D3">
        <w:rPr>
          <w:rFonts w:ascii="Tahoma" w:eastAsiaTheme="minorHAnsi" w:hAnsi="Tahoma" w:cs="Tahoma"/>
          <w:sz w:val="22"/>
          <w:szCs w:val="22"/>
          <w:lang w:eastAsia="en-US"/>
        </w:rPr>
        <w:t xml:space="preserve"> es el que se es el que se determina en </w:t>
      </w:r>
      <w:r w:rsidRPr="00F352D3">
        <w:rPr>
          <w:rFonts w:ascii="Tahoma" w:eastAsiaTheme="minorHAnsi" w:hAnsi="Tahoma" w:cs="Tahoma"/>
          <w:color w:val="00B050"/>
          <w:sz w:val="22"/>
          <w:szCs w:val="22"/>
          <w:lang w:eastAsia="en-US"/>
        </w:rPr>
        <w:t>el apartado 10 del Cuadro de Características del Contrato.</w:t>
      </w:r>
    </w:p>
    <w:p w14:paraId="111740C8" w14:textId="77777777" w:rsidR="005F4B5F" w:rsidRPr="00F352D3" w:rsidRDefault="005F4B5F" w:rsidP="005F4B5F">
      <w:pPr>
        <w:spacing w:after="200" w:line="276" w:lineRule="auto"/>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5.- Confidencialidad</w:t>
      </w:r>
    </w:p>
    <w:p w14:paraId="441CF4C0"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De acuerdo con el </w:t>
      </w:r>
      <w:hyperlink r:id="rId45" w:anchor="I971');" w:tooltip="enlace" w:history="1">
        <w:r w:rsidRPr="00F352D3">
          <w:rPr>
            <w:rFonts w:ascii="Tahoma" w:eastAsiaTheme="minorHAnsi" w:hAnsi="Tahoma" w:cs="Tahoma"/>
            <w:sz w:val="22"/>
            <w:szCs w:val="22"/>
            <w:lang w:eastAsia="en-US"/>
          </w:rPr>
          <w:t>artículo 133 de la LCSP 2017</w:t>
        </w:r>
      </w:hyperlink>
      <w:r w:rsidRPr="00F352D3">
        <w:rPr>
          <w:rFonts w:ascii="Tahoma" w:eastAsiaTheme="minorHAnsi" w:hAnsi="Tahoma" w:cs="Tahoma"/>
          <w:sz w:val="22"/>
          <w:szCs w:val="22"/>
          <w:lang w:eastAsia="en-US"/>
        </w:rPr>
        <w:t xml:space="preserve"> la entidad local no divulgará la información facilitada por los empresarios que éstos hayan designado como confidencial en el momento de presentar su oferta.</w:t>
      </w:r>
    </w:p>
    <w:p w14:paraId="25E642A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carácter de confidencial afecta, entre otros, a los secretos técnicos o comerciales, a los aspectos y a cualesquiera otras informaciones cuyo contenido pueda ser utilizado para falsear la competencia, ya sea en ese procedimiento de licitación o en otros posteriores.</w:t>
      </w:r>
    </w:p>
    <w:p w14:paraId="0D97DB2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deber de confidencialidad del órgano de contratación, así como de sus servicios dependientes no podrá extenderse a todo el contenido de la oferta del adjudicatario.</w:t>
      </w:r>
    </w:p>
    <w:p w14:paraId="15C05DBD"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deber de confidencialidad tampoco podrá impedir la divulgación pública de partes no confidenciales de los contratos celebrados, respetando en todo caso lo dispuesto en la </w:t>
      </w:r>
      <w:hyperlink r:id="rId46" w:tooltip="enlace" w:history="1">
        <w:r w:rsidRPr="00F352D3">
          <w:rPr>
            <w:rFonts w:ascii="Tahoma" w:eastAsiaTheme="minorHAnsi" w:hAnsi="Tahoma" w:cs="Tahoma"/>
            <w:sz w:val="22"/>
            <w:szCs w:val="22"/>
            <w:lang w:eastAsia="en-US"/>
          </w:rPr>
          <w:t>Ley Orgánica 15/1999, de 13 de diciembre</w:t>
        </w:r>
      </w:hyperlink>
      <w:r w:rsidRPr="00F352D3">
        <w:rPr>
          <w:rFonts w:ascii="Tahoma" w:eastAsiaTheme="minorHAnsi" w:hAnsi="Tahoma" w:cs="Tahoma"/>
          <w:sz w:val="22"/>
          <w:szCs w:val="22"/>
          <w:lang w:eastAsia="en-US"/>
        </w:rPr>
        <w:t>, de Protección de Datos de Carácter Personal.</w:t>
      </w:r>
    </w:p>
    <w:p w14:paraId="0FD8CFF7"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16.-Contenido de las proposiciones</w:t>
      </w:r>
    </w:p>
    <w:p w14:paraId="0BAEE1F8" w14:textId="77777777" w:rsidR="005F4B5F" w:rsidRPr="00F352D3" w:rsidRDefault="005F4B5F" w:rsidP="005F4B5F">
      <w:pPr>
        <w:spacing w:after="200" w:line="276" w:lineRule="auto"/>
        <w:rPr>
          <w:rFonts w:ascii="Tahoma" w:eastAsiaTheme="minorHAnsi" w:hAnsi="Tahoma" w:cs="Tahoma"/>
          <w:sz w:val="22"/>
          <w:szCs w:val="22"/>
          <w:lang w:eastAsia="en-US"/>
        </w:rPr>
      </w:pPr>
      <w:r w:rsidRPr="00F352D3">
        <w:rPr>
          <w:rFonts w:ascii="Tahoma" w:eastAsiaTheme="minorHAnsi" w:hAnsi="Tahoma" w:cs="Tahoma"/>
          <w:sz w:val="22"/>
          <w:szCs w:val="22"/>
          <w:lang w:eastAsia="en-US"/>
        </w:rPr>
        <w:t>Los licitadores deberán presentar en dos sobres.</w:t>
      </w:r>
    </w:p>
    <w:p w14:paraId="4F1F932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Los sobres que luego se señalan, se presentarán cerrados y firmados por el licitador o persona que lo representa haciendo constar en cada uno de ellos su respectivo contenido y el nombre del licitador. En el interior de cada sobre se hará constar en hoja independiente su contenido, ordenado numéricamente.</w:t>
      </w:r>
    </w:p>
    <w:p w14:paraId="095D118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lastRenderedPageBreak/>
        <w:t>Las empresas extranjeras que contraten en España presentarán la documentación traducida de forma oficial al castellano o, en su caso, a la lengua de la respectiva Comunidad Autónoma en cuyo territorio tenga su sede el órgano de contratación.</w:t>
      </w:r>
    </w:p>
    <w:p w14:paraId="5275C055" w14:textId="77777777" w:rsidR="002546AC" w:rsidRDefault="002546AC" w:rsidP="005F4B5F">
      <w:pPr>
        <w:spacing w:after="200" w:line="276" w:lineRule="auto"/>
        <w:rPr>
          <w:rFonts w:ascii="Tahoma" w:eastAsiaTheme="minorHAnsi" w:hAnsi="Tahoma" w:cs="Tahoma"/>
          <w:b/>
          <w:color w:val="00B050"/>
          <w:sz w:val="22"/>
          <w:szCs w:val="22"/>
          <w:u w:val="single"/>
          <w:lang w:eastAsia="en-US"/>
        </w:rPr>
      </w:pPr>
    </w:p>
    <w:p w14:paraId="0A604C62" w14:textId="77777777" w:rsidR="005F4B5F" w:rsidRPr="00F352D3" w:rsidRDefault="005F4B5F" w:rsidP="005F4B5F">
      <w:pPr>
        <w:spacing w:after="200" w:line="276" w:lineRule="auto"/>
        <w:rPr>
          <w:rFonts w:ascii="Tahoma" w:eastAsiaTheme="minorHAnsi" w:hAnsi="Tahoma" w:cs="Tahoma"/>
          <w:b/>
          <w:color w:val="00B050"/>
          <w:sz w:val="22"/>
          <w:szCs w:val="22"/>
          <w:u w:val="single"/>
          <w:lang w:eastAsia="en-US"/>
        </w:rPr>
      </w:pPr>
      <w:r w:rsidRPr="00F352D3">
        <w:rPr>
          <w:rFonts w:ascii="Tahoma" w:eastAsiaTheme="minorHAnsi" w:hAnsi="Tahoma" w:cs="Tahoma"/>
          <w:b/>
          <w:color w:val="00B050"/>
          <w:sz w:val="22"/>
          <w:szCs w:val="22"/>
          <w:u w:val="single"/>
          <w:lang w:eastAsia="en-US"/>
        </w:rPr>
        <w:t>1.- Sobre  A</w:t>
      </w:r>
    </w:p>
    <w:p w14:paraId="2B5EF45D" w14:textId="77777777" w:rsidR="005F4B5F" w:rsidRPr="00F352D3" w:rsidRDefault="005F4B5F" w:rsidP="005F4B5F">
      <w:pPr>
        <w:spacing w:after="200" w:line="276" w:lineRule="auto"/>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TÍTULO: Documentación Administrativa.</w:t>
      </w:r>
    </w:p>
    <w:p w14:paraId="74D1666E"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Contenido</w:t>
      </w:r>
    </w:p>
    <w:p w14:paraId="2053713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2546AC">
        <w:rPr>
          <w:rFonts w:ascii="Tahoma" w:eastAsiaTheme="minorHAnsi" w:hAnsi="Tahoma" w:cs="Tahoma"/>
          <w:b/>
          <w:bCs/>
          <w:sz w:val="22"/>
          <w:szCs w:val="22"/>
          <w:u w:val="single"/>
          <w:lang w:eastAsia="en-US"/>
        </w:rPr>
        <w:t xml:space="preserve">El Sobre A </w:t>
      </w:r>
      <w:r w:rsidRPr="00F352D3">
        <w:rPr>
          <w:rFonts w:ascii="Tahoma" w:eastAsiaTheme="minorHAnsi" w:hAnsi="Tahoma" w:cs="Tahoma"/>
          <w:sz w:val="22"/>
          <w:szCs w:val="22"/>
          <w:lang w:eastAsia="en-US"/>
        </w:rPr>
        <w:t xml:space="preserve">incluirá declaración responsable que se ajustará al formulario de documento europeo único de contratación que se adjunta como </w:t>
      </w:r>
      <w:r w:rsidRPr="00F352D3">
        <w:rPr>
          <w:rFonts w:ascii="Tahoma" w:eastAsiaTheme="minorHAnsi" w:hAnsi="Tahoma" w:cs="Tahoma"/>
          <w:b/>
          <w:color w:val="FF0000"/>
          <w:sz w:val="22"/>
          <w:szCs w:val="22"/>
          <w:lang w:eastAsia="en-US"/>
        </w:rPr>
        <w:t>ANEXO 1</w:t>
      </w:r>
      <w:r w:rsidRPr="00F352D3">
        <w:rPr>
          <w:rFonts w:ascii="Tahoma" w:eastAsiaTheme="minorHAnsi" w:hAnsi="Tahoma" w:cs="Tahoma"/>
          <w:sz w:val="22"/>
          <w:szCs w:val="22"/>
          <w:lang w:eastAsia="en-US"/>
        </w:rPr>
        <w:t xml:space="preserve">, que deberá estar firmada y con la correspondiente identificación, en la que el licitador ponga de manifiesto de acuerdo con el </w:t>
      </w:r>
      <w:hyperlink r:id="rId47" w:anchor="I1195');" w:tooltip="enlace" w:history="1">
        <w:r w:rsidRPr="00F352D3">
          <w:rPr>
            <w:rFonts w:ascii="Tahoma" w:eastAsiaTheme="minorHAnsi" w:hAnsi="Tahoma" w:cs="Tahoma"/>
            <w:sz w:val="22"/>
            <w:szCs w:val="22"/>
            <w:lang w:eastAsia="en-US"/>
          </w:rPr>
          <w:t>artículo 159.4.c) de la LCSP 2017</w:t>
        </w:r>
      </w:hyperlink>
      <w:r w:rsidRPr="00F352D3">
        <w:rPr>
          <w:rFonts w:ascii="Tahoma" w:eastAsiaTheme="minorHAnsi" w:hAnsi="Tahoma" w:cs="Tahoma"/>
          <w:sz w:val="22"/>
          <w:szCs w:val="22"/>
          <w:lang w:eastAsia="en-US"/>
        </w:rPr>
        <w:t xml:space="preserve"> que:</w:t>
      </w:r>
    </w:p>
    <w:p w14:paraId="3C2B0A2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El firmante ostenta la representación de la sociedad que presenta la oferta</w:t>
      </w:r>
    </w:p>
    <w:p w14:paraId="5A310C00"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Cuenta con la adecuada solvencia económica, financiera y técnica o, en su caso, la clasificación correspondiente;</w:t>
      </w:r>
    </w:p>
    <w:p w14:paraId="26A63EA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Posee las autorizaciones necesarias para ejercer la actividad</w:t>
      </w:r>
    </w:p>
    <w:p w14:paraId="52BF7B8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No está incurso en prohibición de contratar alguna</w:t>
      </w:r>
    </w:p>
    <w:p w14:paraId="16F25CC9"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sz w:val="22"/>
          <w:szCs w:val="22"/>
          <w:lang w:eastAsia="en-US"/>
        </w:rPr>
        <w:t>- Cuando el licitador desee recurrir a las capacidades de otras entidades, compromiso por escrito de dichas entidades de que va a disponer de los recursos necesarios.</w:t>
      </w:r>
    </w:p>
    <w:p w14:paraId="6ADE38B9" w14:textId="77777777" w:rsidR="005F4B5F" w:rsidRPr="00F352D3" w:rsidRDefault="005F4B5F" w:rsidP="005F4B5F">
      <w:pPr>
        <w:spacing w:after="200" w:line="276" w:lineRule="auto"/>
        <w:rPr>
          <w:rFonts w:ascii="Tahoma" w:eastAsiaTheme="minorHAnsi" w:hAnsi="Tahoma" w:cs="Tahoma"/>
          <w:sz w:val="22"/>
          <w:szCs w:val="22"/>
          <w:lang w:eastAsia="en-US"/>
        </w:rPr>
      </w:pPr>
      <w:r w:rsidRPr="00F352D3">
        <w:rPr>
          <w:rFonts w:ascii="Tahoma" w:eastAsiaTheme="minorHAnsi" w:hAnsi="Tahoma" w:cs="Tahoma"/>
          <w:sz w:val="22"/>
          <w:szCs w:val="22"/>
          <w:lang w:eastAsia="en-US"/>
        </w:rPr>
        <w:t>- En el caso de que la empresa fuera extranjera, sometimiento al fuero español.</w:t>
      </w:r>
    </w:p>
    <w:p w14:paraId="6A3309C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En el supuesto de que la oferta se presentará por una unión temporal de empresarios, deberá acompañar el compromiso de constitución de la unión.</w:t>
      </w:r>
    </w:p>
    <w:p w14:paraId="430A881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Las circunstancias relativas a la capacidad, solvencia y ausencia de prohibiciones de contratar a las que se refieren los apartados anteriores, deberán concurrir en la fecha final de presentación de ofertas y subsistir en el momento de perfección del contrato.</w:t>
      </w:r>
    </w:p>
    <w:p w14:paraId="06136C58" w14:textId="77777777" w:rsidR="005F4B5F" w:rsidRPr="00F352D3" w:rsidRDefault="005F4B5F" w:rsidP="005F4B5F">
      <w:pPr>
        <w:spacing w:after="200" w:line="276" w:lineRule="auto"/>
        <w:rPr>
          <w:rFonts w:ascii="Tahoma" w:eastAsiaTheme="minorHAnsi" w:hAnsi="Tahoma" w:cs="Tahoma"/>
          <w:b/>
          <w:color w:val="00B050"/>
          <w:sz w:val="22"/>
          <w:szCs w:val="22"/>
          <w:u w:val="single"/>
          <w:lang w:eastAsia="en-US"/>
        </w:rPr>
      </w:pPr>
      <w:r w:rsidRPr="00F352D3">
        <w:rPr>
          <w:rFonts w:ascii="Tahoma" w:eastAsiaTheme="minorHAnsi" w:hAnsi="Tahoma" w:cs="Tahoma"/>
          <w:b/>
          <w:color w:val="00B050"/>
          <w:sz w:val="22"/>
          <w:szCs w:val="22"/>
          <w:u w:val="single"/>
          <w:lang w:eastAsia="en-US"/>
        </w:rPr>
        <w:t xml:space="preserve">2.- Sobre B </w:t>
      </w:r>
    </w:p>
    <w:p w14:paraId="32300FDC" w14:textId="77777777" w:rsidR="005F4B5F" w:rsidRPr="00F352D3" w:rsidRDefault="005F4B5F" w:rsidP="005F4B5F">
      <w:pPr>
        <w:spacing w:after="200" w:line="276" w:lineRule="auto"/>
        <w:jc w:val="both"/>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 xml:space="preserve">TÍTULO: Documentación relativa a oferta económica </w:t>
      </w:r>
    </w:p>
    <w:p w14:paraId="78DD44FC"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Contenido</w:t>
      </w:r>
    </w:p>
    <w:p w14:paraId="5BAC5E1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En este sobre incluirá la oferta económica </w:t>
      </w:r>
    </w:p>
    <w:p w14:paraId="7EA3BEB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La oferta económica, así como los criterios evaluables mediante fórmulas se ajustarán al modelo que se adjunta como </w:t>
      </w:r>
      <w:r w:rsidRPr="00F352D3">
        <w:rPr>
          <w:rFonts w:ascii="Tahoma" w:eastAsiaTheme="minorHAnsi" w:hAnsi="Tahoma" w:cs="Tahoma"/>
          <w:b/>
          <w:color w:val="FF0000"/>
          <w:sz w:val="22"/>
          <w:szCs w:val="22"/>
          <w:lang w:eastAsia="en-US"/>
        </w:rPr>
        <w:t>ANEXO 2</w:t>
      </w:r>
      <w:r w:rsidRPr="00F352D3">
        <w:rPr>
          <w:rFonts w:ascii="Tahoma" w:eastAsiaTheme="minorHAnsi" w:hAnsi="Tahoma" w:cs="Tahoma"/>
          <w:sz w:val="22"/>
          <w:szCs w:val="22"/>
          <w:lang w:eastAsia="en-US"/>
        </w:rPr>
        <w:t xml:space="preserve"> de este Pliego.</w:t>
      </w:r>
    </w:p>
    <w:p w14:paraId="6AD8BBE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La oferta económica se presentará en caracteres claros o escrita a máquina, de modo que serán excluidas aquéllas que tengan omisiones, errores o tachaduras que impidan </w:t>
      </w:r>
      <w:r w:rsidRPr="00F352D3">
        <w:rPr>
          <w:rFonts w:ascii="Tahoma" w:eastAsiaTheme="minorHAnsi" w:hAnsi="Tahoma" w:cs="Tahoma"/>
          <w:sz w:val="22"/>
          <w:szCs w:val="22"/>
          <w:lang w:eastAsia="en-US"/>
        </w:rPr>
        <w:lastRenderedPageBreak/>
        <w:t>conocer, claramente, lo que la Entidad Local estime fundamental para considerar la oferta.</w:t>
      </w:r>
    </w:p>
    <w:p w14:paraId="17ACD6E6"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17.- Mesa de Contratación</w:t>
      </w:r>
    </w:p>
    <w:p w14:paraId="5CBCEA8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Mesa de contratación estará presidida por el Alcalde, como vocales, el Secretario- Interventor, así como el Auxiliar de la Corporación, que actuará como Secretario de la Mesa.</w:t>
      </w:r>
    </w:p>
    <w:p w14:paraId="567E26F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Todos los concejales del ayuntamiento podrán asistir a la mesa en calidad de observadores.</w:t>
      </w:r>
    </w:p>
    <w:p w14:paraId="40AAB1F8" w14:textId="77777777" w:rsidR="005F4B5F" w:rsidRPr="00F352D3" w:rsidRDefault="005F4B5F" w:rsidP="005F4B5F">
      <w:pPr>
        <w:spacing w:after="200" w:line="276" w:lineRule="auto"/>
        <w:rPr>
          <w:rFonts w:ascii="Tahoma" w:eastAsiaTheme="minorHAnsi" w:hAnsi="Tahoma" w:cs="Tahoma"/>
          <w:sz w:val="22"/>
          <w:szCs w:val="22"/>
          <w:lang w:eastAsia="en-US"/>
        </w:rPr>
      </w:pPr>
      <w:r w:rsidRPr="00F352D3">
        <w:rPr>
          <w:rFonts w:ascii="Tahoma" w:eastAsiaTheme="minorHAnsi" w:hAnsi="Tahoma" w:cs="Tahoma"/>
          <w:sz w:val="22"/>
          <w:szCs w:val="22"/>
          <w:lang w:eastAsia="en-US"/>
        </w:rPr>
        <w:t>La composición de la Mesa se publicará en el perfil de contratante.</w:t>
      </w:r>
    </w:p>
    <w:p w14:paraId="6F7A4CCF"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18.- Examen de las proposiciones, propuesta de adjudicación y publicidad</w:t>
      </w:r>
    </w:p>
    <w:p w14:paraId="41E1999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De acuerdo con lo previsto en el </w:t>
      </w:r>
      <w:hyperlink r:id="rId48" w:anchor="I1195');" w:tooltip="enlace" w:history="1">
        <w:r w:rsidRPr="00F352D3">
          <w:rPr>
            <w:rFonts w:ascii="Tahoma" w:eastAsiaTheme="minorHAnsi" w:hAnsi="Tahoma" w:cs="Tahoma"/>
            <w:sz w:val="22"/>
            <w:szCs w:val="22"/>
            <w:lang w:eastAsia="en-US"/>
          </w:rPr>
          <w:t>artículo 159.4 de la LCSP 2017</w:t>
        </w:r>
      </w:hyperlink>
      <w:r w:rsidRPr="00F352D3">
        <w:rPr>
          <w:rFonts w:ascii="Tahoma" w:eastAsiaTheme="minorHAnsi" w:hAnsi="Tahoma" w:cs="Tahoma"/>
          <w:sz w:val="22"/>
          <w:szCs w:val="22"/>
          <w:lang w:eastAsia="en-US"/>
        </w:rPr>
        <w:t xml:space="preserve"> la apertura de los sobres conteniendo la proposición se hará por el orden que proceda de conformidad con lo establecido en el </w:t>
      </w:r>
      <w:hyperlink r:id="rId49" w:anchor="I1083');" w:tooltip="enlace" w:history="1">
        <w:r w:rsidRPr="00F352D3">
          <w:rPr>
            <w:rFonts w:ascii="Tahoma" w:eastAsiaTheme="minorHAnsi" w:hAnsi="Tahoma" w:cs="Tahoma"/>
            <w:sz w:val="22"/>
            <w:szCs w:val="22"/>
            <w:lang w:eastAsia="en-US"/>
          </w:rPr>
          <w:t>artículo 146 de la LCSP 2017</w:t>
        </w:r>
      </w:hyperlink>
      <w:r w:rsidRPr="00F352D3">
        <w:rPr>
          <w:rFonts w:ascii="Tahoma" w:eastAsiaTheme="minorHAnsi" w:hAnsi="Tahoma" w:cs="Tahoma"/>
          <w:sz w:val="22"/>
          <w:szCs w:val="22"/>
          <w:lang w:eastAsia="en-US"/>
        </w:rPr>
        <w:t xml:space="preserve"> en función del método aplicable para valorar los criterios de adjudicación establecidos en los pliegos.</w:t>
      </w:r>
    </w:p>
    <w:p w14:paraId="06CECB9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apertura se hará por la Mesa de Contratación.</w:t>
      </w:r>
    </w:p>
    <w:p w14:paraId="46662CFD"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Será público el acto de apertura de los sobres </w:t>
      </w:r>
    </w:p>
    <w:p w14:paraId="58D8AF6A" w14:textId="77777777" w:rsidR="005F4B5F" w:rsidRPr="00F352D3" w:rsidRDefault="005F4B5F" w:rsidP="005F4B5F">
      <w:pPr>
        <w:spacing w:after="200" w:line="276" w:lineRule="auto"/>
        <w:rPr>
          <w:rFonts w:ascii="Tahoma" w:eastAsiaTheme="minorHAnsi" w:hAnsi="Tahoma" w:cs="Tahoma"/>
          <w:sz w:val="22"/>
          <w:szCs w:val="22"/>
          <w:lang w:eastAsia="en-US"/>
        </w:rPr>
      </w:pPr>
      <w:r w:rsidRPr="00F352D3">
        <w:rPr>
          <w:rFonts w:ascii="Tahoma" w:eastAsiaTheme="minorHAnsi" w:hAnsi="Tahoma" w:cs="Tahoma"/>
          <w:sz w:val="22"/>
          <w:szCs w:val="22"/>
          <w:lang w:eastAsia="en-US"/>
        </w:rPr>
        <w:t>Tras dicho acto público, en la misma sesión, la mesa procederá a:</w:t>
      </w:r>
    </w:p>
    <w:p w14:paraId="0BCE569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1. Previa exclusión,en su caso, de las ofertas</w:t>
      </w:r>
      <w:r w:rsidRPr="00F352D3">
        <w:rPr>
          <w:rFonts w:ascii="Tahoma" w:eastAsiaTheme="minorHAnsi" w:hAnsi="Tahoma" w:cs="Tahoma"/>
          <w:sz w:val="22"/>
          <w:szCs w:val="22"/>
          <w:lang w:eastAsia="en-US"/>
        </w:rPr>
        <w:t xml:space="preserve"> que no cumplan los requerimientos del pliego, evaluar y clasificar las ofertas.</w:t>
      </w:r>
    </w:p>
    <w:p w14:paraId="05DDAE7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2. Realizar la propuesta de adjudicación</w:t>
      </w:r>
      <w:r w:rsidRPr="00F352D3">
        <w:rPr>
          <w:rFonts w:ascii="Tahoma" w:eastAsiaTheme="minorHAnsi" w:hAnsi="Tahoma" w:cs="Tahoma"/>
          <w:sz w:val="22"/>
          <w:szCs w:val="22"/>
          <w:lang w:eastAsia="en-US"/>
        </w:rPr>
        <w:t xml:space="preserve"> a favor del candidato con mejor puntuación.</w:t>
      </w:r>
    </w:p>
    <w:p w14:paraId="247AAE2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3. Comprobar que el firmante de la proposición</w:t>
      </w:r>
      <w:r w:rsidRPr="00F352D3">
        <w:rPr>
          <w:rFonts w:ascii="Tahoma" w:eastAsiaTheme="minorHAnsi" w:hAnsi="Tahoma" w:cs="Tahoma"/>
          <w:sz w:val="22"/>
          <w:szCs w:val="22"/>
          <w:lang w:eastAsia="en-US"/>
        </w:rPr>
        <w:t xml:space="preserve"> tiene poder bastante para formular la oferta, ostenta la solvencia económica, financiera y técnica o, en su caso la clasificación correspondiente y no está incursa en ninguna prohibición para contratar.</w:t>
      </w:r>
    </w:p>
    <w:p w14:paraId="1177B40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4. Requerir a la empresa que ha obtenido la mejor puntuación</w:t>
      </w:r>
      <w:r w:rsidRPr="00F352D3">
        <w:rPr>
          <w:rFonts w:ascii="Tahoma" w:eastAsiaTheme="minorHAnsi" w:hAnsi="Tahoma" w:cs="Tahoma"/>
          <w:sz w:val="22"/>
          <w:szCs w:val="22"/>
          <w:lang w:eastAsia="en-US"/>
        </w:rPr>
        <w:t xml:space="preserve"> para que constituya la garantía definitiva, así como para que aporte cuando desee recurrir a las capacidades de otras entidades, compromiso por escrito de dichas entidades de que va a disponer de los recursos necesarios todo ello en el plazo de 5 días hábiles a contar desde el envío de la comunicación.</w:t>
      </w:r>
    </w:p>
    <w:p w14:paraId="38418027"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19. Valoración de las ofertas</w:t>
      </w:r>
    </w:p>
    <w:p w14:paraId="43DE205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valoración se realizará en el mismo acto.</w:t>
      </w:r>
    </w:p>
    <w:p w14:paraId="3B8AE6EB"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20. Ofertas anormalmente bajas</w:t>
      </w:r>
    </w:p>
    <w:p w14:paraId="5AC9AC3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Se considerarán incursas en presunción de anormalidad las ofertas que sean inferiores </w:t>
      </w:r>
      <w:r w:rsidRPr="00F352D3">
        <w:rPr>
          <w:rFonts w:ascii="Tahoma" w:eastAsiaTheme="minorHAnsi" w:hAnsi="Tahoma" w:cs="Tahoma"/>
          <w:color w:val="FF0000"/>
          <w:sz w:val="22"/>
          <w:szCs w:val="22"/>
          <w:lang w:eastAsia="en-US"/>
        </w:rPr>
        <w:t xml:space="preserve">al </w:t>
      </w:r>
      <w:r w:rsidR="002546AC">
        <w:rPr>
          <w:rFonts w:ascii="Tahoma" w:eastAsiaTheme="minorHAnsi" w:hAnsi="Tahoma" w:cs="Tahoma"/>
          <w:color w:val="FF0000"/>
          <w:sz w:val="22"/>
          <w:szCs w:val="22"/>
          <w:lang w:eastAsia="en-US"/>
        </w:rPr>
        <w:t>8</w:t>
      </w:r>
      <w:r w:rsidRPr="00F352D3">
        <w:rPr>
          <w:rFonts w:ascii="Tahoma" w:eastAsiaTheme="minorHAnsi" w:hAnsi="Tahoma" w:cs="Tahoma"/>
          <w:color w:val="FF0000"/>
          <w:sz w:val="22"/>
          <w:szCs w:val="22"/>
          <w:lang w:eastAsia="en-US"/>
        </w:rPr>
        <w:t xml:space="preserve">0% </w:t>
      </w:r>
      <w:r w:rsidRPr="00F352D3">
        <w:rPr>
          <w:rFonts w:ascii="Tahoma" w:eastAsiaTheme="minorHAnsi" w:hAnsi="Tahoma" w:cs="Tahoma"/>
          <w:sz w:val="22"/>
          <w:szCs w:val="22"/>
          <w:lang w:eastAsia="en-US"/>
        </w:rPr>
        <w:t>del precio de licitación.</w:t>
      </w:r>
    </w:p>
    <w:p w14:paraId="05E1D5C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lastRenderedPageBreak/>
        <w:t xml:space="preserve">Conforme al </w:t>
      </w:r>
      <w:hyperlink r:id="rId50" w:anchor="I1195');" w:tooltip="enlace" w:history="1">
        <w:r w:rsidRPr="00F352D3">
          <w:rPr>
            <w:rFonts w:ascii="Tahoma" w:eastAsiaTheme="minorHAnsi" w:hAnsi="Tahoma" w:cs="Tahoma"/>
            <w:sz w:val="22"/>
            <w:szCs w:val="22"/>
            <w:lang w:eastAsia="en-US"/>
          </w:rPr>
          <w:t>artículo 159.4.f) de la LCSP 2017</w:t>
        </w:r>
      </w:hyperlink>
      <w:r w:rsidRPr="00F352D3">
        <w:rPr>
          <w:rFonts w:ascii="Tahoma" w:eastAsiaTheme="minorHAnsi" w:hAnsi="Tahoma" w:cs="Tahoma"/>
          <w:sz w:val="22"/>
          <w:szCs w:val="22"/>
          <w:lang w:eastAsia="en-US"/>
        </w:rPr>
        <w:t xml:space="preserve"> cuando la oferta del licitador que haya obtenido la mejor puntuación se presuma que es anormalmente baja. la Mesa, previa exclusión, en su caso, de las ofertas que no cumplan los requerimientos del pliego, y antes de la realización de la propuesta de adjudicación a favor del candidato con mejor puntuación, deberá tramitarse el procedimiento previsto en el </w:t>
      </w:r>
      <w:hyperlink r:id="rId51" w:anchor="I1115');" w:tooltip="enlace" w:history="1">
        <w:r w:rsidRPr="00F352D3">
          <w:rPr>
            <w:rFonts w:ascii="Tahoma" w:eastAsiaTheme="minorHAnsi" w:hAnsi="Tahoma" w:cs="Tahoma"/>
            <w:sz w:val="22"/>
            <w:szCs w:val="22"/>
            <w:lang w:eastAsia="en-US"/>
          </w:rPr>
          <w:t>artículo 149 de la LCSP 2017</w:t>
        </w:r>
      </w:hyperlink>
      <w:r w:rsidRPr="00F352D3">
        <w:rPr>
          <w:rFonts w:ascii="Tahoma" w:eastAsiaTheme="minorHAnsi" w:hAnsi="Tahoma" w:cs="Tahoma"/>
          <w:sz w:val="22"/>
          <w:szCs w:val="22"/>
          <w:lang w:eastAsia="en-US"/>
        </w:rPr>
        <w:t>, en el que se solicitará el asesoramiento técnico del servicio correspondiente, si bien el plazo máximo para que justifique su oferta el licitador no podrá superar los 5 días hábiles desde el envío de la correspondiente comunicación.</w:t>
      </w:r>
    </w:p>
    <w:p w14:paraId="43D3653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todo caso, los órganos de contratación rechazarán las ofertas si comprueban que son anormalmente bajas porque vulneran la normativa sobre subcontratación o no cumplen las obligaciones aplicables en materia medioambiental, social o laboral, nacional o internacional, incluyendo el incumplimiento de los convenios colectivos sectoriales vigentes.</w:t>
      </w:r>
    </w:p>
    <w:p w14:paraId="1FE00AF0"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Se entenderá en todo caso que la justificación no explica satisfactoriamente el bajo nivel de los precios o costes propuestos por el licitador cuando ésta sea incompleta o se fundamente en hipótesis o prácticas inadecuadas desde el punto de vista técnico, jurídico o económico.</w:t>
      </w:r>
    </w:p>
    <w:p w14:paraId="711065FD"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Cuando la empresa que hubiese estado incursa en presunción de anormalidad hubiera resultado adjudicataria del contrato, el órgano de contratación velará por la adecuada ejecución del contrato, sin que se produzca una merma en la calidad de, las obras contratadas.</w:t>
      </w:r>
    </w:p>
    <w:p w14:paraId="1D257BB8"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21. Presentación de documentación con carácter previo a la adjudicación</w:t>
      </w:r>
    </w:p>
    <w:p w14:paraId="42080F6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De acuerdo con el </w:t>
      </w:r>
      <w:hyperlink r:id="rId52" w:anchor="I1195');" w:tooltip="enlace" w:history="1">
        <w:r w:rsidRPr="00F352D3">
          <w:rPr>
            <w:rFonts w:ascii="Tahoma" w:eastAsiaTheme="minorHAnsi" w:hAnsi="Tahoma" w:cs="Tahoma"/>
            <w:sz w:val="22"/>
            <w:szCs w:val="22"/>
            <w:lang w:eastAsia="en-US"/>
          </w:rPr>
          <w:t>artículo 159.4.f).4.º de la LCSP 2017</w:t>
        </w:r>
      </w:hyperlink>
      <w:r w:rsidRPr="00F352D3">
        <w:rPr>
          <w:rFonts w:ascii="Tahoma" w:eastAsiaTheme="minorHAnsi" w:hAnsi="Tahoma" w:cs="Tahoma"/>
          <w:sz w:val="22"/>
          <w:szCs w:val="22"/>
          <w:lang w:eastAsia="en-US"/>
        </w:rPr>
        <w:t xml:space="preserve">, la Mesa requerirá a la empresa que haya obtenido la mejor puntuación  para que constituya la garantía definitiva, así como cuando el licitador desee recurrir a las capacidades de otras entidades, compromiso por escrito de dichas entidades de que va a disponer de los recursos necesarios y la documentación justificativa de que dispone efectivamente de los medios que se hubiese comprometido a dedicar o adscribir a la ejecución del contrato conforme al </w:t>
      </w:r>
      <w:hyperlink r:id="rId53" w:anchor="I567');" w:tooltip="enlace" w:history="1">
        <w:r w:rsidRPr="00F352D3">
          <w:rPr>
            <w:rFonts w:ascii="Tahoma" w:eastAsiaTheme="minorHAnsi" w:hAnsi="Tahoma" w:cs="Tahoma"/>
            <w:sz w:val="22"/>
            <w:szCs w:val="22"/>
            <w:lang w:eastAsia="en-US"/>
          </w:rPr>
          <w:t>artículo 76.2 de la LCSP 2017</w:t>
        </w:r>
      </w:hyperlink>
      <w:r w:rsidRPr="00F352D3">
        <w:rPr>
          <w:rFonts w:ascii="Tahoma" w:eastAsiaTheme="minorHAnsi" w:hAnsi="Tahoma" w:cs="Tahoma"/>
          <w:sz w:val="22"/>
          <w:szCs w:val="22"/>
          <w:lang w:eastAsia="en-US"/>
        </w:rPr>
        <w:t xml:space="preserve"> y todo ello en el </w:t>
      </w:r>
      <w:r w:rsidRPr="00F352D3">
        <w:rPr>
          <w:rFonts w:ascii="Tahoma" w:eastAsiaTheme="minorHAnsi" w:hAnsi="Tahoma" w:cs="Tahoma"/>
          <w:color w:val="00B050"/>
          <w:sz w:val="22"/>
          <w:szCs w:val="22"/>
          <w:lang w:eastAsia="en-US"/>
        </w:rPr>
        <w:t>plazo de 7 días hábiles</w:t>
      </w:r>
      <w:r w:rsidRPr="00F352D3">
        <w:rPr>
          <w:rFonts w:ascii="Tahoma" w:eastAsiaTheme="minorHAnsi" w:hAnsi="Tahoma" w:cs="Tahoma"/>
          <w:sz w:val="22"/>
          <w:szCs w:val="22"/>
          <w:lang w:eastAsia="en-US"/>
        </w:rPr>
        <w:t xml:space="preserve"> a contar desde el envío de la comunicación.</w:t>
      </w:r>
    </w:p>
    <w:p w14:paraId="4A436F7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caso de que en el plazo otorgado al efecto el candidato propuesto como adjudicatario no presente la garantía definitiva, se efectuará propuesta de adjudicación a favor del siguiente candidato en puntuación, otorgándole el correspondiente plazo para constituir la citada garantía definitiva.</w:t>
      </w:r>
    </w:p>
    <w:p w14:paraId="1817A63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En el supuesto de que el empresario tenga que presentar cualquier otra documentación que no esté inscrita en el Registro de Licitadores, la misma se tendrá que aportar en </w:t>
      </w:r>
      <w:r w:rsidRPr="00F352D3">
        <w:rPr>
          <w:rFonts w:ascii="Tahoma" w:eastAsiaTheme="minorHAnsi" w:hAnsi="Tahoma" w:cs="Tahoma"/>
          <w:color w:val="00B050"/>
          <w:sz w:val="22"/>
          <w:szCs w:val="22"/>
          <w:lang w:eastAsia="en-US"/>
        </w:rPr>
        <w:t>el plazo de 7 días hábiles</w:t>
      </w:r>
      <w:r w:rsidRPr="00F352D3">
        <w:rPr>
          <w:rFonts w:ascii="Tahoma" w:eastAsiaTheme="minorHAnsi" w:hAnsi="Tahoma" w:cs="Tahoma"/>
          <w:sz w:val="22"/>
          <w:szCs w:val="22"/>
          <w:lang w:eastAsia="en-US"/>
        </w:rPr>
        <w:t xml:space="preserve"> establecido para presentar la garantía definitiva.</w:t>
      </w:r>
    </w:p>
    <w:p w14:paraId="5E501CC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lastRenderedPageBreak/>
        <w:t>En los casos en que a la licitación se presenten empresarios extranjeros de un Estado miembro de la Unión Europea o signatario del Espacio Económico Europeo, la acreditación de su capacidad, solvencia y ausencia de prohibiciones se podrá realizar bien mediante consulta en la correspondiente lista oficial de operadores económicos autorizados de un Estado miembro, bien mediante la aportación de la documentación acreditativa de los citados extremos, que deberá presentar, en este último caso, en el plazo concedido para la presentación de la garantía definitiva.</w:t>
      </w:r>
    </w:p>
    <w:p w14:paraId="426C590E"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22. Garantía definitiva</w:t>
      </w:r>
    </w:p>
    <w:p w14:paraId="51A13D5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licitador que presente la oferta económicamente más ventajosa deberá constituir a disposición del órgano de contratación una garantía de un </w:t>
      </w:r>
      <w:r w:rsidRPr="00F352D3">
        <w:rPr>
          <w:rFonts w:ascii="Tahoma" w:eastAsiaTheme="minorHAnsi" w:hAnsi="Tahoma" w:cs="Tahoma"/>
          <w:color w:val="FF0000"/>
          <w:sz w:val="22"/>
          <w:szCs w:val="22"/>
          <w:lang w:eastAsia="en-US"/>
        </w:rPr>
        <w:t>5 por 100</w:t>
      </w:r>
      <w:r w:rsidRPr="00F352D3">
        <w:rPr>
          <w:rFonts w:ascii="Tahoma" w:eastAsiaTheme="minorHAnsi" w:hAnsi="Tahoma" w:cs="Tahoma"/>
          <w:sz w:val="22"/>
          <w:szCs w:val="22"/>
          <w:lang w:eastAsia="en-US"/>
        </w:rPr>
        <w:t xml:space="preserve"> del precio final ofertado por aquéllos, excluido el Impuesto sobre el Valor Añadido.</w:t>
      </w:r>
    </w:p>
    <w:p w14:paraId="31BBD30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La garantía definitiva podrá prestarse en alguna o algunas de las formas previstas en el </w:t>
      </w:r>
      <w:hyperlink r:id="rId54" w:anchor="I796');" w:tooltip="enlace" w:history="1">
        <w:r w:rsidRPr="00F352D3">
          <w:rPr>
            <w:rFonts w:ascii="Tahoma" w:eastAsiaTheme="minorHAnsi" w:hAnsi="Tahoma" w:cs="Tahoma"/>
            <w:sz w:val="22"/>
            <w:szCs w:val="22"/>
            <w:lang w:eastAsia="en-US"/>
          </w:rPr>
          <w:t>artículo 108 de la LCSP 2017</w:t>
        </w:r>
      </w:hyperlink>
      <w:r w:rsidRPr="00F352D3">
        <w:rPr>
          <w:rFonts w:ascii="Tahoma" w:eastAsiaTheme="minorHAnsi" w:hAnsi="Tahoma" w:cs="Tahoma"/>
          <w:sz w:val="22"/>
          <w:szCs w:val="22"/>
          <w:lang w:eastAsia="en-US"/>
        </w:rPr>
        <w:t>.</w:t>
      </w:r>
    </w:p>
    <w:p w14:paraId="0D9AAC60"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acreditación de la constitución de la garantía definitiva podrá hacerse mediante medios electrónicos.</w:t>
      </w:r>
    </w:p>
    <w:p w14:paraId="01D39EA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acreditación de la constitución de la garantía definitiva por el licitador que hubiera presentado la oferta económicamente más ventajosa deberá acreditar en el plazo conferido para la presentación de la documentación previa a la adjudicación.</w:t>
      </w:r>
    </w:p>
    <w:p w14:paraId="2E79C32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De no cumplir este requisito por causas a él imputables, la Administración no efectuará la adjudicación a su favor, se entenderá que el licitador ha retirado su oferta, procediéndose a exigirle </w:t>
      </w:r>
      <w:r w:rsidRPr="00F352D3">
        <w:rPr>
          <w:rFonts w:ascii="Tahoma" w:eastAsiaTheme="minorHAnsi" w:hAnsi="Tahoma" w:cs="Tahoma"/>
          <w:color w:val="00B050"/>
          <w:sz w:val="22"/>
          <w:szCs w:val="22"/>
          <w:lang w:eastAsia="en-US"/>
        </w:rPr>
        <w:t xml:space="preserve">el importe del </w:t>
      </w:r>
      <w:r w:rsidRPr="00F352D3">
        <w:rPr>
          <w:rFonts w:ascii="Tahoma" w:eastAsiaTheme="minorHAnsi" w:hAnsi="Tahoma" w:cs="Tahoma"/>
          <w:color w:val="FF0000"/>
          <w:sz w:val="22"/>
          <w:szCs w:val="22"/>
          <w:lang w:eastAsia="en-US"/>
        </w:rPr>
        <w:t>3% del presupuesto base de licitación</w:t>
      </w:r>
      <w:r w:rsidRPr="00F352D3">
        <w:rPr>
          <w:rFonts w:ascii="Tahoma" w:eastAsiaTheme="minorHAnsi" w:hAnsi="Tahoma" w:cs="Tahoma"/>
          <w:color w:val="00B050"/>
          <w:sz w:val="22"/>
          <w:szCs w:val="22"/>
          <w:lang w:eastAsia="en-US"/>
        </w:rPr>
        <w:t>, IVA excluido, en concepto de penalidad</w:t>
      </w:r>
      <w:r w:rsidRPr="00F352D3">
        <w:rPr>
          <w:rFonts w:ascii="Tahoma" w:eastAsiaTheme="minorHAnsi" w:hAnsi="Tahoma" w:cs="Tahoma"/>
          <w:sz w:val="22"/>
          <w:szCs w:val="22"/>
          <w:lang w:eastAsia="en-US"/>
        </w:rPr>
        <w:t>.</w:t>
      </w:r>
    </w:p>
    <w:p w14:paraId="1040BD9D"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Cuando se hagan efectivas sobre la garantía definitiva las penalidades o indemnizaciones exigibles al contratista, este deberá reponer o ampliar aquélla, en la cuantía que corresponda, en el plazo de quince días desde la ejecución, incurriendo en caso contrario en causa de resolución.</w:t>
      </w:r>
    </w:p>
    <w:p w14:paraId="1EB6DF9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Cuando, como consecuencia de una modificación del contrato, experimente variación el precio del mismo, deberá reajustarse la garantía, para que guarde la debida proporción con el nuevo precio modificado, en el plazo de quince días contados desde la fecha en que se notifique al empresario el acuerdo de modificación.</w:t>
      </w:r>
    </w:p>
    <w:p w14:paraId="68AD70F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A estos efectos no se considerarán las variaciones de precio que se produzcan como consecuencia de la aprobación de la revisión de precios del contrato.</w:t>
      </w:r>
    </w:p>
    <w:p w14:paraId="60D4636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La garantía definitiva responderá de los conceptos a los que se refiere el </w:t>
      </w:r>
      <w:hyperlink r:id="rId55" w:anchor="I808');" w:tooltip="enlace" w:history="1">
        <w:r w:rsidRPr="00F352D3">
          <w:rPr>
            <w:rFonts w:ascii="Tahoma" w:eastAsiaTheme="minorHAnsi" w:hAnsi="Tahoma" w:cs="Tahoma"/>
            <w:sz w:val="22"/>
            <w:szCs w:val="22"/>
            <w:lang w:eastAsia="en-US"/>
          </w:rPr>
          <w:t>artículo 110 de la LCSP 2017</w:t>
        </w:r>
      </w:hyperlink>
      <w:r w:rsidRPr="00F352D3">
        <w:rPr>
          <w:rFonts w:ascii="Tahoma" w:eastAsiaTheme="minorHAnsi" w:hAnsi="Tahoma" w:cs="Tahoma"/>
          <w:sz w:val="22"/>
          <w:szCs w:val="22"/>
          <w:lang w:eastAsia="en-US"/>
        </w:rPr>
        <w:t>.</w:t>
      </w:r>
    </w:p>
    <w:p w14:paraId="4EF6BA9D"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23.- Garantía complementaria</w:t>
      </w:r>
    </w:p>
    <w:p w14:paraId="6A62027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No se prevé.</w:t>
      </w:r>
    </w:p>
    <w:p w14:paraId="4D053226"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lastRenderedPageBreak/>
        <w:t>Cláusula 24.- Decisión de no adjudicar o celebrar el contrato y desistimiento del procedimiento de adjudicación</w:t>
      </w:r>
    </w:p>
    <w:p w14:paraId="5B61A80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Cuando el órgano de contratación desista del procedimiento de adjudicación o decida no adjudicar o celebrar el contrato cuando se haya efectuado la correspondiente convocatoria, lo notificará a los licitadores.</w:t>
      </w:r>
    </w:p>
    <w:p w14:paraId="4C77242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decisión de no adjudicar o celebrar el contrato o el desistimiento del procedimiento podrán acordarse por el órgano de contratación antes de la formalización, debiendo compensarse a los licitadores de acuerdo con los criterios de valoración empleados para el cálculo de la responsabilidad patrimonial de la Administración, a través de los trámites del procedimiento administrativo común.</w:t>
      </w:r>
    </w:p>
    <w:p w14:paraId="11B2B45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Sólo podrá adoptarse la decisión de no adjudicar o celebrar el contrato por razones de interés público debidamente justificadas en el expediente, en cuyo caso, no podrá promoverse una nueva licitación de su objeto en tanto subsistan las razones alegadas para fundamentar la decisión.</w:t>
      </w:r>
    </w:p>
    <w:p w14:paraId="0FBCAAE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desistimiento del procedimiento debe estar fundado en una infracción no subsanable de las normas de preparación del contrato o de las reguladoras del procedimiento de adjudicación, debiendo justificarse en el expediente la concurrencia de la causa. El desistimiento no impedirá la iniciación inmediata de un procedimiento de licitación.</w:t>
      </w:r>
    </w:p>
    <w:p w14:paraId="53F5E03F"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25.- Adjudicación y notificación</w:t>
      </w:r>
    </w:p>
    <w:p w14:paraId="1AA8B9C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De acuerdo con el </w:t>
      </w:r>
      <w:hyperlink r:id="rId56" w:anchor="I1183');" w:tooltip="enlace" w:history="1">
        <w:r w:rsidRPr="00F352D3">
          <w:rPr>
            <w:rFonts w:ascii="Tahoma" w:eastAsiaTheme="minorHAnsi" w:hAnsi="Tahoma" w:cs="Tahoma"/>
            <w:sz w:val="22"/>
            <w:szCs w:val="22"/>
            <w:lang w:eastAsia="en-US"/>
          </w:rPr>
          <w:t>artículo 157.4.f) de la LCSP 2017</w:t>
        </w:r>
      </w:hyperlink>
      <w:r w:rsidRPr="00F352D3">
        <w:rPr>
          <w:rFonts w:ascii="Tahoma" w:eastAsiaTheme="minorHAnsi" w:hAnsi="Tahoma" w:cs="Tahoma"/>
          <w:sz w:val="22"/>
          <w:szCs w:val="22"/>
          <w:lang w:eastAsia="en-US"/>
        </w:rPr>
        <w:t xml:space="preserve">, presentada la garantía definitiva y, en los casos en que resulte preceptiva, previa fiscalización del compromiso del gasto por la Intervención en los términos previstos en el </w:t>
      </w:r>
      <w:hyperlink r:id="rId57" w:tooltip="enlace" w:history="1">
        <w:r w:rsidRPr="00F352D3">
          <w:rPr>
            <w:rFonts w:ascii="Tahoma" w:eastAsiaTheme="minorHAnsi" w:hAnsi="Tahoma" w:cs="Tahoma"/>
            <w:sz w:val="22"/>
            <w:szCs w:val="22"/>
            <w:lang w:eastAsia="en-US"/>
          </w:rPr>
          <w:t>Real Decreto Legislativo 2/2004, de 5 de marzo, por el que se aprueba el texto refundido de la Ley Reguladora de las Haciendas Locales</w:t>
        </w:r>
      </w:hyperlink>
      <w:r w:rsidRPr="00F352D3">
        <w:rPr>
          <w:rFonts w:ascii="Tahoma" w:eastAsiaTheme="minorHAnsi" w:hAnsi="Tahoma" w:cs="Tahoma"/>
          <w:sz w:val="22"/>
          <w:szCs w:val="22"/>
          <w:lang w:eastAsia="en-US"/>
        </w:rPr>
        <w:t xml:space="preserve"> en un </w:t>
      </w:r>
      <w:r w:rsidRPr="00F352D3">
        <w:rPr>
          <w:rFonts w:ascii="Tahoma" w:eastAsiaTheme="minorHAnsi" w:hAnsi="Tahoma" w:cs="Tahoma"/>
          <w:color w:val="00B050"/>
          <w:sz w:val="22"/>
          <w:szCs w:val="22"/>
          <w:lang w:eastAsia="en-US"/>
        </w:rPr>
        <w:t>plazo no superior a 5 días</w:t>
      </w:r>
      <w:r w:rsidRPr="00F352D3">
        <w:rPr>
          <w:rFonts w:ascii="Tahoma" w:eastAsiaTheme="minorHAnsi" w:hAnsi="Tahoma" w:cs="Tahoma"/>
          <w:sz w:val="22"/>
          <w:szCs w:val="22"/>
          <w:lang w:eastAsia="en-US"/>
        </w:rPr>
        <w:t>, se procederá a adjudicar el contrato a favor del licitador propuesto como adjudicatario, procediéndose, una vez adjudicado el mismo, a su formalización.</w:t>
      </w:r>
    </w:p>
    <w:p w14:paraId="55EC393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La resolución motivada de adjudicación se notificará a los licitadores, debiendo ser publicada en el perfil de contratante en </w:t>
      </w:r>
      <w:r w:rsidRPr="00F352D3">
        <w:rPr>
          <w:rFonts w:ascii="Tahoma" w:eastAsiaTheme="minorHAnsi" w:hAnsi="Tahoma" w:cs="Tahoma"/>
          <w:color w:val="00B050"/>
          <w:sz w:val="22"/>
          <w:szCs w:val="22"/>
          <w:lang w:eastAsia="en-US"/>
        </w:rPr>
        <w:t>el plazo de 7 días.</w:t>
      </w:r>
    </w:p>
    <w:p w14:paraId="625D0EE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notificación y la publicidad deberán contener la información necesaria que permita a los interesados en el procedimiento de adjudicación interponer recurso suficientemente fundado contra la decisión de adjudicación, y entre ella en todo caso deberá figurar la siguiente:</w:t>
      </w:r>
    </w:p>
    <w:p w14:paraId="2712D9F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Con respecto a los licitadores excluidos del procedimiento de adjudicación, los motivos por los que no se haya admitido su oferta</w:t>
      </w:r>
    </w:p>
    <w:p w14:paraId="19419FB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En todo caso, el nombre del adjudicatario, las características y ventajas de la proposición del adjudicatario determinantes de que haya sido seleccionada la oferta de este.</w:t>
      </w:r>
    </w:p>
    <w:p w14:paraId="05992366"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26.- Sucesión en el procedimiento</w:t>
      </w:r>
    </w:p>
    <w:p w14:paraId="5EEFB37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lastRenderedPageBreak/>
        <w:t>Si durante la tramitación del procedimiento y antes de la formalización del contrato se produce una operación de fusión, escisión, transmisión del patrimonio empresarial o de una rama de la actividad, le sucederá a la empresa licitadora o candidata en su posición en el procedimiento la sociedad absorbente, la resultante de la fusión, la beneficiaria de la escisión o la adquirente del patrimonio empresarial o de la correspondiente rama de actividad, siempre que reúna las condiciones de capacidad y ausencia de prohibición de contratar y acredite su solvencia y clasificación en las condiciones exigidas en este pliego de cláusulas administrativas particulares para poder participar en el procedimiento de adjudicación.</w:t>
      </w:r>
    </w:p>
    <w:p w14:paraId="2CC45A35"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27. Formalización del contrato</w:t>
      </w:r>
    </w:p>
    <w:p w14:paraId="03C580C5" w14:textId="77777777" w:rsidR="005F4B5F" w:rsidRPr="00F352D3" w:rsidRDefault="005F4B5F" w:rsidP="005F4B5F">
      <w:pPr>
        <w:spacing w:after="200" w:line="276" w:lineRule="auto"/>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Formalización</w:t>
      </w:r>
    </w:p>
    <w:p w14:paraId="4AE9AD0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contrato deberá formalizarse en documento administrativo que se ajustará con exactitud a las condiciones de la licitación, constituyendo dicho documento título suficiente para acceder a cualquier registro público. No obstante, el contratista podrá solicitar que el contrato se eleve a escritura pública, corriendo de su cargo los correspondientes gastos. En ningún caso se podrán incluir en el documento en que se formalice el contrato cláusulas que impliquen alteración de los términos de la adjudicación.</w:t>
      </w:r>
    </w:p>
    <w:p w14:paraId="01A0C15D"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La formalización del contrato deberá efectuarse no más tarde de los </w:t>
      </w:r>
      <w:r w:rsidRPr="00F352D3">
        <w:rPr>
          <w:rFonts w:ascii="Tahoma" w:eastAsiaTheme="minorHAnsi" w:hAnsi="Tahoma" w:cs="Tahoma"/>
          <w:color w:val="00B050"/>
          <w:sz w:val="22"/>
          <w:szCs w:val="22"/>
          <w:lang w:eastAsia="en-US"/>
        </w:rPr>
        <w:t>cinco días hábiles</w:t>
      </w:r>
      <w:r w:rsidRPr="00F352D3">
        <w:rPr>
          <w:rFonts w:ascii="Tahoma" w:eastAsiaTheme="minorHAnsi" w:hAnsi="Tahoma" w:cs="Tahoma"/>
          <w:sz w:val="22"/>
          <w:szCs w:val="22"/>
          <w:lang w:eastAsia="en-US"/>
        </w:rPr>
        <w:t xml:space="preserve"> siguientes a aquel en que se realice la notificación de la adjudicación a los licitadores y candidatos.</w:t>
      </w:r>
    </w:p>
    <w:p w14:paraId="0F26C702"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Cuando por causas imputables al adjudicatario no se hubiese formalizado el contrato dentro del plazo indicado se le exigirá </w:t>
      </w:r>
      <w:r w:rsidRPr="00F352D3">
        <w:rPr>
          <w:rFonts w:ascii="Tahoma" w:eastAsiaTheme="minorHAnsi" w:hAnsi="Tahoma" w:cs="Tahoma"/>
          <w:color w:val="FF0000"/>
          <w:sz w:val="22"/>
          <w:szCs w:val="22"/>
          <w:lang w:eastAsia="en-US"/>
        </w:rPr>
        <w:t>el importe del 3% del presupuesto base</w:t>
      </w:r>
      <w:r w:rsidRPr="00F352D3">
        <w:rPr>
          <w:rFonts w:ascii="Tahoma" w:eastAsiaTheme="minorHAnsi" w:hAnsi="Tahoma" w:cs="Tahoma"/>
          <w:sz w:val="22"/>
          <w:szCs w:val="22"/>
          <w:lang w:eastAsia="en-US"/>
        </w:rPr>
        <w:t xml:space="preserve"> de licitación, IVA excluido, en concepto de penalidad, que se hará efectivo en primer lugar contra la garantía definitiva, si se hubiera constituido, sin perjuicio de su consideración como causa de prohibición para contratar (</w:t>
      </w:r>
      <w:hyperlink r:id="rId58" w:anchor="I1115');" w:tooltip="enlace" w:history="1">
        <w:r w:rsidRPr="00F352D3">
          <w:rPr>
            <w:rFonts w:ascii="Tahoma" w:eastAsiaTheme="minorHAnsi" w:hAnsi="Tahoma" w:cs="Tahoma"/>
            <w:sz w:val="22"/>
            <w:szCs w:val="22"/>
            <w:lang w:eastAsia="en-US"/>
          </w:rPr>
          <w:t>artículo 149 de la LCSP 2017</w:t>
        </w:r>
      </w:hyperlink>
      <w:r w:rsidRPr="00F352D3">
        <w:rPr>
          <w:rFonts w:ascii="Tahoma" w:eastAsiaTheme="minorHAnsi" w:hAnsi="Tahoma" w:cs="Tahoma"/>
          <w:sz w:val="22"/>
          <w:szCs w:val="22"/>
          <w:lang w:eastAsia="en-US"/>
        </w:rPr>
        <w:t>).</w:t>
      </w:r>
    </w:p>
    <w:p w14:paraId="5DAD505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tal caso, el contrato se adjudicará al siguiente licitador por el orden en que hubieran quedado clasificadas las ofertas, previa presentación de la documentación acreditativa del cumplimiento de los requisitos previos, en los plazos antes señalados.</w:t>
      </w:r>
    </w:p>
    <w:p w14:paraId="5CF13E2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Si las causas de la no formalización fueren imputables a la Administración, se indemnizará al contratista de los daños y perjuicios que la demora le pudiera ocasionar.</w:t>
      </w:r>
    </w:p>
    <w:p w14:paraId="2DE9C35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No podrá procederse a la ejecución del contrato con carácter previo a su formalización.</w:t>
      </w:r>
    </w:p>
    <w:p w14:paraId="7BF7DFC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tal caso, el contrato se adjudicará al siguiente licitador por el orden en que hubieran quedado clasificadas las ofertas, previa presentación de la documentación acreditativa del cumplimiento de los requisitos previos, en los plazos antes señalados.</w:t>
      </w:r>
    </w:p>
    <w:p w14:paraId="6F4FF8AE" w14:textId="77777777" w:rsidR="005F4B5F" w:rsidRPr="00F352D3" w:rsidRDefault="005F4B5F" w:rsidP="005F4B5F">
      <w:pPr>
        <w:spacing w:after="200" w:line="276" w:lineRule="auto"/>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Anuncio de formalización</w:t>
      </w:r>
    </w:p>
    <w:p w14:paraId="6A0417E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lastRenderedPageBreak/>
        <w:t xml:space="preserve">La formalización del contrato junto con el correspondiente contrato se publicará en el Perfil del Contratante en </w:t>
      </w:r>
      <w:r w:rsidRPr="00F352D3">
        <w:rPr>
          <w:rFonts w:ascii="Tahoma" w:eastAsiaTheme="minorHAnsi" w:hAnsi="Tahoma" w:cs="Tahoma"/>
          <w:color w:val="00B050"/>
          <w:sz w:val="22"/>
          <w:szCs w:val="22"/>
          <w:lang w:eastAsia="en-US"/>
        </w:rPr>
        <w:t>un plazo no superior a quince días</w:t>
      </w:r>
      <w:r w:rsidRPr="00F352D3">
        <w:rPr>
          <w:rFonts w:ascii="Tahoma" w:eastAsiaTheme="minorHAnsi" w:hAnsi="Tahoma" w:cs="Tahoma"/>
          <w:sz w:val="22"/>
          <w:szCs w:val="22"/>
          <w:lang w:eastAsia="en-US"/>
        </w:rPr>
        <w:t xml:space="preserve"> tras el perfeccionamiento del contrato en el perfil de contratante del órgano de contratación.</w:t>
      </w:r>
    </w:p>
    <w:p w14:paraId="3A16F4E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anuncio de formalización contendrá la información recogida en el Anexo III de la </w:t>
      </w:r>
      <w:hyperlink r:id="rId59" w:tooltip="enlace" w:history="1">
        <w:r w:rsidRPr="00F352D3">
          <w:rPr>
            <w:rFonts w:ascii="Tahoma" w:eastAsiaTheme="minorHAnsi" w:hAnsi="Tahoma" w:cs="Tahoma"/>
            <w:sz w:val="22"/>
            <w:szCs w:val="22"/>
            <w:lang w:eastAsia="en-US"/>
          </w:rPr>
          <w:t>LCSP 2017</w:t>
        </w:r>
      </w:hyperlink>
      <w:r w:rsidRPr="00F352D3">
        <w:rPr>
          <w:rFonts w:ascii="Tahoma" w:eastAsiaTheme="minorHAnsi" w:hAnsi="Tahoma" w:cs="Tahoma"/>
          <w:sz w:val="22"/>
          <w:szCs w:val="22"/>
          <w:lang w:eastAsia="en-US"/>
        </w:rPr>
        <w:t>.</w:t>
      </w:r>
    </w:p>
    <w:p w14:paraId="1DBD3967"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28.-Pago del precio del contrato</w:t>
      </w:r>
    </w:p>
    <w:p w14:paraId="7F4FD9D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Entidad Local expedirá mensualmente, certificaciones que comprendan la obra ejecutada conforme a proyecto durante dicho período de tiempo,  cuyos abonos tienen el concepto de pagos a cuenta sujetos a las rectificaciones y variaciones que se produzcan en la medición final y sin suponer en forma alguna, aprobación y recepción de las obras que comprenden.</w:t>
      </w:r>
    </w:p>
    <w:p w14:paraId="3564FA80"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Sin perjuicio de lo establecido en el apartado 4 del </w:t>
      </w:r>
      <w:hyperlink r:id="rId60" w:anchor="I1497');" w:tooltip="enlace" w:history="1">
        <w:r w:rsidRPr="00F352D3">
          <w:rPr>
            <w:rFonts w:ascii="Tahoma" w:eastAsiaTheme="minorHAnsi" w:hAnsi="Tahoma" w:cs="Tahoma"/>
            <w:sz w:val="22"/>
            <w:szCs w:val="22"/>
            <w:lang w:eastAsia="en-US"/>
          </w:rPr>
          <w:t>artículo 210 de la LCSP 2017</w:t>
        </w:r>
      </w:hyperlink>
      <w:r w:rsidRPr="00F352D3">
        <w:rPr>
          <w:rFonts w:ascii="Tahoma" w:eastAsiaTheme="minorHAnsi" w:hAnsi="Tahoma" w:cs="Tahoma"/>
          <w:sz w:val="22"/>
          <w:szCs w:val="22"/>
          <w:lang w:eastAsia="en-US"/>
        </w:rPr>
        <w:t xml:space="preserve"> en relación a la liquidación del contrato y en el apartado 1 del </w:t>
      </w:r>
      <w:hyperlink r:id="rId61" w:anchor="I1762');" w:tooltip="enlace" w:history="1">
        <w:r w:rsidRPr="00F352D3">
          <w:rPr>
            <w:rFonts w:ascii="Tahoma" w:eastAsiaTheme="minorHAnsi" w:hAnsi="Tahoma" w:cs="Tahoma"/>
            <w:sz w:val="22"/>
            <w:szCs w:val="22"/>
            <w:lang w:eastAsia="en-US"/>
          </w:rPr>
          <w:t>artículo 243 de la LCSP 2017</w:t>
        </w:r>
      </w:hyperlink>
      <w:r w:rsidRPr="00F352D3">
        <w:rPr>
          <w:rFonts w:ascii="Tahoma" w:eastAsiaTheme="minorHAnsi" w:hAnsi="Tahoma" w:cs="Tahoma"/>
          <w:sz w:val="22"/>
          <w:szCs w:val="22"/>
          <w:lang w:eastAsia="en-US"/>
        </w:rPr>
        <w:t xml:space="preserve"> sobre recepción del contrato , la Entidad Local </w:t>
      </w:r>
      <w:r w:rsidRPr="00F352D3">
        <w:rPr>
          <w:rFonts w:ascii="Tahoma" w:eastAsiaTheme="minorHAnsi" w:hAnsi="Tahoma" w:cs="Tahoma"/>
          <w:color w:val="00B050"/>
          <w:sz w:val="22"/>
          <w:szCs w:val="22"/>
          <w:lang w:eastAsia="en-US"/>
        </w:rPr>
        <w:t>deberá aprobar</w:t>
      </w:r>
      <w:r w:rsidRPr="00F352D3">
        <w:rPr>
          <w:rFonts w:ascii="Tahoma" w:eastAsiaTheme="minorHAnsi" w:hAnsi="Tahoma" w:cs="Tahoma"/>
          <w:sz w:val="22"/>
          <w:szCs w:val="22"/>
          <w:lang w:eastAsia="en-US"/>
        </w:rPr>
        <w:t xml:space="preserve"> los documentos que acrediten la conformidad con lo dispuesto en el proyecto y el contrato de la obra ejecutada dentro de </w:t>
      </w:r>
      <w:r w:rsidRPr="00F352D3">
        <w:rPr>
          <w:rFonts w:ascii="Tahoma" w:eastAsiaTheme="minorHAnsi" w:hAnsi="Tahoma" w:cs="Tahoma"/>
          <w:color w:val="00B050"/>
          <w:sz w:val="22"/>
          <w:szCs w:val="22"/>
          <w:lang w:eastAsia="en-US"/>
        </w:rPr>
        <w:t>los treinta días siguientes</w:t>
      </w:r>
      <w:r w:rsidRPr="00F352D3">
        <w:rPr>
          <w:rFonts w:ascii="Tahoma" w:eastAsiaTheme="minorHAnsi" w:hAnsi="Tahoma" w:cs="Tahoma"/>
          <w:sz w:val="22"/>
          <w:szCs w:val="22"/>
          <w:lang w:eastAsia="en-US"/>
        </w:rPr>
        <w:t xml:space="preserve"> a su expedición siempre que no sea manifiestamente abusivo para el acreedor en el sentido del </w:t>
      </w:r>
      <w:hyperlink r:id="rId62" w:anchor="I105');" w:tooltip="enlace" w:history="1">
        <w:r w:rsidRPr="00F352D3">
          <w:rPr>
            <w:rFonts w:ascii="Tahoma" w:eastAsiaTheme="minorHAnsi" w:hAnsi="Tahoma" w:cs="Tahoma"/>
            <w:sz w:val="22"/>
            <w:szCs w:val="22"/>
            <w:lang w:eastAsia="en-US"/>
          </w:rPr>
          <w:t>artículo 9 de la Ley 3/2004, de 29 de diciembre</w:t>
        </w:r>
      </w:hyperlink>
      <w:r w:rsidRPr="00F352D3">
        <w:rPr>
          <w:rFonts w:ascii="Tahoma" w:eastAsiaTheme="minorHAnsi" w:hAnsi="Tahoma" w:cs="Tahoma"/>
          <w:sz w:val="22"/>
          <w:szCs w:val="22"/>
          <w:lang w:eastAsia="en-US"/>
        </w:rPr>
        <w:t>, por la que se establecen medidas de lucha contra la morosidad en las operaciones comerciales.</w:t>
      </w:r>
    </w:p>
    <w:p w14:paraId="7DEAE1D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La Entidad Local tendrá la obligación de abonar el precio dentro de </w:t>
      </w:r>
      <w:r w:rsidRPr="00F352D3">
        <w:rPr>
          <w:rFonts w:ascii="Tahoma" w:eastAsiaTheme="minorHAnsi" w:hAnsi="Tahoma" w:cs="Tahoma"/>
          <w:color w:val="00B050"/>
          <w:sz w:val="22"/>
          <w:szCs w:val="22"/>
          <w:lang w:eastAsia="en-US"/>
        </w:rPr>
        <w:t>los treinta días siguientes a la fecha de aprobación de las certificaciones de obra,</w:t>
      </w:r>
      <w:r w:rsidRPr="00F352D3">
        <w:rPr>
          <w:rFonts w:ascii="Tahoma" w:eastAsiaTheme="minorHAnsi" w:hAnsi="Tahoma" w:cs="Tahoma"/>
          <w:sz w:val="22"/>
          <w:szCs w:val="22"/>
          <w:lang w:eastAsia="en-US"/>
        </w:rPr>
        <w:t xml:space="preserve"> siempre y cuando haya presentado la correspondiente factura en tiempo y forma en dicho plazo.</w:t>
      </w:r>
    </w:p>
    <w:p w14:paraId="36E6805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Si se observase que la factura presentada adolece de algún requisito exigible, se solicitará su subsanación sin que empiece a computarse el plazo señalado hasta su corrección.</w:t>
      </w:r>
    </w:p>
    <w:p w14:paraId="43D6936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Si el contratista incumpliera el plazo de </w:t>
      </w:r>
      <w:r w:rsidRPr="00F352D3">
        <w:rPr>
          <w:rFonts w:ascii="Tahoma" w:eastAsiaTheme="minorHAnsi" w:hAnsi="Tahoma" w:cs="Tahoma"/>
          <w:color w:val="00B050"/>
          <w:sz w:val="22"/>
          <w:szCs w:val="22"/>
          <w:lang w:eastAsia="en-US"/>
        </w:rPr>
        <w:t>treinta días</w:t>
      </w:r>
      <w:r w:rsidRPr="00F352D3">
        <w:rPr>
          <w:rFonts w:ascii="Tahoma" w:eastAsiaTheme="minorHAnsi" w:hAnsi="Tahoma" w:cs="Tahoma"/>
          <w:sz w:val="22"/>
          <w:szCs w:val="22"/>
          <w:lang w:eastAsia="en-US"/>
        </w:rPr>
        <w:t xml:space="preserve"> para presentar la factura ante el registro administrativo correspondiente en los términos establecidos en la normativa vigente sobre factura electrónica, </w:t>
      </w:r>
      <w:r w:rsidRPr="00F352D3">
        <w:rPr>
          <w:rFonts w:ascii="Tahoma" w:eastAsiaTheme="minorHAnsi" w:hAnsi="Tahoma" w:cs="Tahoma"/>
          <w:color w:val="00B050"/>
          <w:sz w:val="22"/>
          <w:szCs w:val="22"/>
          <w:lang w:eastAsia="en-US"/>
        </w:rPr>
        <w:t>el devengo de intereses no se iniciará hasta transcurridos treinta días desde la fecha de la correcta presentación de la fa</w:t>
      </w:r>
      <w:r w:rsidRPr="00F352D3">
        <w:rPr>
          <w:rFonts w:ascii="Tahoma" w:eastAsiaTheme="minorHAnsi" w:hAnsi="Tahoma" w:cs="Tahoma"/>
          <w:sz w:val="22"/>
          <w:szCs w:val="22"/>
          <w:lang w:eastAsia="en-US"/>
        </w:rPr>
        <w:t>ctura, sin que la Administración haya aprobado la conformidad, si procede, y efectuado el correspondiente abono.</w:t>
      </w:r>
    </w:p>
    <w:p w14:paraId="19E18B52"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De acuerdo con lo señalado en la </w:t>
      </w:r>
      <w:hyperlink r:id="rId63" w:anchor="I2665');" w:tooltip="enlace" w:history="1">
        <w:r w:rsidRPr="00F352D3">
          <w:rPr>
            <w:rFonts w:ascii="Tahoma" w:eastAsiaTheme="minorHAnsi" w:hAnsi="Tahoma" w:cs="Tahoma"/>
            <w:sz w:val="22"/>
            <w:szCs w:val="22"/>
            <w:lang w:eastAsia="en-US"/>
          </w:rPr>
          <w:t>Disposición adicional trigésima segunda de la LCSP 2017</w:t>
        </w:r>
      </w:hyperlink>
      <w:r w:rsidRPr="00F352D3">
        <w:rPr>
          <w:rFonts w:ascii="Tahoma" w:eastAsiaTheme="minorHAnsi" w:hAnsi="Tahoma" w:cs="Tahoma"/>
          <w:sz w:val="22"/>
          <w:szCs w:val="22"/>
          <w:lang w:eastAsia="en-US"/>
        </w:rPr>
        <w:t xml:space="preserve"> el contratista tendrá la obligación de presentar la factura ante el correspondiente registro administrativo a efectos de su remisión al órgano administrativo o unidad a quien corresponda la tramitación de la misma .</w:t>
      </w:r>
    </w:p>
    <w:p w14:paraId="7CAA856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En los supuestos fijados en la </w:t>
      </w:r>
      <w:hyperlink r:id="rId64" w:tooltip="enlace" w:history="1">
        <w:r w:rsidRPr="00F352D3">
          <w:rPr>
            <w:rFonts w:ascii="Tahoma" w:eastAsiaTheme="minorHAnsi" w:hAnsi="Tahoma" w:cs="Tahoma"/>
            <w:sz w:val="22"/>
            <w:szCs w:val="22"/>
            <w:lang w:eastAsia="en-US"/>
          </w:rPr>
          <w:t>Ley 25/2013, de 27 de diciembre</w:t>
        </w:r>
      </w:hyperlink>
      <w:r w:rsidRPr="00F352D3">
        <w:rPr>
          <w:rFonts w:ascii="Tahoma" w:eastAsiaTheme="minorHAnsi" w:hAnsi="Tahoma" w:cs="Tahoma"/>
          <w:sz w:val="22"/>
          <w:szCs w:val="22"/>
          <w:lang w:eastAsia="en-US"/>
        </w:rPr>
        <w:t xml:space="preserve">, de Impulso a la Factura Electrónica y Creación del Registro Contable de Facturas del Sector Público deberá presentarse en formato electrónico. En tales supuestos la presentación de la factura en el Punto General de Acceso equivale a la presentación en un registro administrativo </w:t>
      </w:r>
    </w:p>
    <w:p w14:paraId="34CCBE9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lastRenderedPageBreak/>
        <w:t>Si la demora en el pago fuese superior a cuatro meses</w:t>
      </w:r>
      <w:r w:rsidRPr="00F352D3">
        <w:rPr>
          <w:rFonts w:ascii="Tahoma" w:eastAsiaTheme="minorHAnsi" w:hAnsi="Tahoma" w:cs="Tahoma"/>
          <w:sz w:val="22"/>
          <w:szCs w:val="22"/>
          <w:lang w:eastAsia="en-US"/>
        </w:rPr>
        <w:t xml:space="preserve">, el contratista podrá proceder, en su caso, a la suspensión del cumplimiento del contrato, debiendo comunicar a la Administración, </w:t>
      </w:r>
      <w:r w:rsidRPr="00F352D3">
        <w:rPr>
          <w:rFonts w:ascii="Tahoma" w:eastAsiaTheme="minorHAnsi" w:hAnsi="Tahoma" w:cs="Tahoma"/>
          <w:color w:val="00B050"/>
          <w:sz w:val="22"/>
          <w:szCs w:val="22"/>
          <w:lang w:eastAsia="en-US"/>
        </w:rPr>
        <w:t>con un mes de antelación, tal circunstancia</w:t>
      </w:r>
      <w:r w:rsidRPr="00F352D3">
        <w:rPr>
          <w:rFonts w:ascii="Tahoma" w:eastAsiaTheme="minorHAnsi" w:hAnsi="Tahoma" w:cs="Tahoma"/>
          <w:sz w:val="22"/>
          <w:szCs w:val="22"/>
          <w:lang w:eastAsia="en-US"/>
        </w:rPr>
        <w:t>, a efectos del reconocimiento de los derechos que puedan derivarse de dicha suspensión, en los términos establecidos en esta Ley.</w:t>
      </w:r>
    </w:p>
    <w:p w14:paraId="2DB8C8ED"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Si la demora de la Administración fuese superior a seis meses</w:t>
      </w:r>
      <w:r w:rsidRPr="00F352D3">
        <w:rPr>
          <w:rFonts w:ascii="Tahoma" w:eastAsiaTheme="minorHAnsi" w:hAnsi="Tahoma" w:cs="Tahoma"/>
          <w:sz w:val="22"/>
          <w:szCs w:val="22"/>
          <w:lang w:eastAsia="en-US"/>
        </w:rPr>
        <w:t xml:space="preserve">, el contratista tendrá derecho, asimismo, a </w:t>
      </w:r>
      <w:r w:rsidRPr="00F352D3">
        <w:rPr>
          <w:rFonts w:ascii="Tahoma" w:eastAsiaTheme="minorHAnsi" w:hAnsi="Tahoma" w:cs="Tahoma"/>
          <w:color w:val="00B050"/>
          <w:sz w:val="22"/>
          <w:szCs w:val="22"/>
          <w:lang w:eastAsia="en-US"/>
        </w:rPr>
        <w:t>resolver el contrato y al resarcimiento de los perjuicios</w:t>
      </w:r>
      <w:r w:rsidRPr="00F352D3">
        <w:rPr>
          <w:rFonts w:ascii="Tahoma" w:eastAsiaTheme="minorHAnsi" w:hAnsi="Tahoma" w:cs="Tahoma"/>
          <w:sz w:val="22"/>
          <w:szCs w:val="22"/>
          <w:lang w:eastAsia="en-US"/>
        </w:rPr>
        <w:t xml:space="preserve"> que como consecuencia de ello se le originen.</w:t>
      </w:r>
    </w:p>
    <w:p w14:paraId="250101AB"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Sin perjuicio de lo establecido en las normas tributarias y de la Seguridad Social, los abonos a cuenta que procedan por la ejecución del contrato, solo podrán ser embargados en los siguientes supuestos:</w:t>
      </w:r>
    </w:p>
    <w:p w14:paraId="32A9C13B"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a) Para el pago de los salarios devengados por el personal del contratista en la ejecución del contrato y de las cuotas sociales derivadas de los mismos.</w:t>
      </w:r>
    </w:p>
    <w:p w14:paraId="3566D28B"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b) Para el pago de las obligaciones contraídas por el contratista con los subcontratistas y suministradores referidas a la ejecución del contrato </w:t>
      </w:r>
    </w:p>
    <w:p w14:paraId="44A7FDBB"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29.- Revisión de precios</w:t>
      </w:r>
    </w:p>
    <w:p w14:paraId="7BBDC39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Dada la duración del contrato, no procede</w:t>
      </w:r>
    </w:p>
    <w:p w14:paraId="3A05CE87"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30.- Obligaciones relativas a la fiscalidad, protección del medio ambiente, empleo y condiciones laborales y de contratar a un porcentaje específico de personas con discapacidad</w:t>
      </w:r>
    </w:p>
    <w:p w14:paraId="0BD0D3F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contratista está obligado al cumplimiento de la normativa vigente en materia laboral, de seguridad social, de integración social de minusválidos y de prevención de riesgos laborales, conforme a lo dispuesto en la </w:t>
      </w:r>
      <w:hyperlink r:id="rId65" w:tooltip="enlace" w:history="1">
        <w:r w:rsidRPr="00F352D3">
          <w:rPr>
            <w:rFonts w:ascii="Tahoma" w:eastAsiaTheme="minorHAnsi" w:hAnsi="Tahoma" w:cs="Tahoma"/>
            <w:sz w:val="22"/>
            <w:szCs w:val="22"/>
            <w:lang w:eastAsia="en-US"/>
          </w:rPr>
          <w:t>Ley 31/1995, de 8 de noviembre</w:t>
        </w:r>
      </w:hyperlink>
      <w:r w:rsidRPr="00F352D3">
        <w:rPr>
          <w:rFonts w:ascii="Tahoma" w:eastAsiaTheme="minorHAnsi" w:hAnsi="Tahoma" w:cs="Tahoma"/>
          <w:sz w:val="22"/>
          <w:szCs w:val="22"/>
          <w:lang w:eastAsia="en-US"/>
        </w:rPr>
        <w:t xml:space="preserve">, sobre Prevención de Riesgos Laborales, y sus normas reglamentarias y de desarrollo. </w:t>
      </w:r>
    </w:p>
    <w:p w14:paraId="6560195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En el modelo de proposición económica que figura como Anexo 2</w:t>
      </w:r>
      <w:r w:rsidRPr="00F352D3">
        <w:rPr>
          <w:rFonts w:ascii="Tahoma" w:eastAsiaTheme="minorHAnsi" w:hAnsi="Tahoma" w:cs="Tahoma"/>
          <w:sz w:val="22"/>
          <w:szCs w:val="22"/>
          <w:lang w:eastAsia="en-US"/>
        </w:rPr>
        <w:t xml:space="preserve"> al presente pliego se hará manifestación expresa que se han tenido en cuenta en sus ofertas las obligaciones derivadas de las disposiciones vigentes en materia de fiscalidad, protección del medio ambiente, protección del empleo, igualdad de género, condiciones de trabajo, prevención de riesgos laborales e inserción socio laboral de las personas con discapacidad, y a la obligación de contratar a un número o porcentaje especifico de personas con discapacidad,  sin perjuicio de la aplicación de lo dispuesto en el </w:t>
      </w:r>
      <w:hyperlink r:id="rId66" w:anchor="I1115');" w:tooltip="enlace" w:history="1">
        <w:r w:rsidRPr="00F352D3">
          <w:rPr>
            <w:rFonts w:ascii="Tahoma" w:eastAsiaTheme="minorHAnsi" w:hAnsi="Tahoma" w:cs="Tahoma"/>
            <w:sz w:val="22"/>
            <w:szCs w:val="22"/>
            <w:lang w:eastAsia="en-US"/>
          </w:rPr>
          <w:t>artículo 149 de la LCSP 2017</w:t>
        </w:r>
      </w:hyperlink>
      <w:r w:rsidRPr="00F352D3">
        <w:rPr>
          <w:rFonts w:ascii="Tahoma" w:eastAsiaTheme="minorHAnsi" w:hAnsi="Tahoma" w:cs="Tahoma"/>
          <w:sz w:val="22"/>
          <w:szCs w:val="22"/>
          <w:lang w:eastAsia="en-US"/>
        </w:rPr>
        <w:t xml:space="preserve"> sobre verificación de las ofertas que incluyan valores anormales o desproporcionados.</w:t>
      </w:r>
    </w:p>
    <w:p w14:paraId="32B93FC7"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31.- Información sobre subrogación en contratos de trabajo</w:t>
      </w:r>
    </w:p>
    <w:p w14:paraId="07D083F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Cuando una norma legal un convenio colectivo o un acuerdo de negociación colectiva de eficacia general, imponga al adjudicatario la obligación de subrogarse como empleador en determinadas relaciones laborales, los servicios dependientes del órgano de contratación facilitarán a los licitadores, en el </w:t>
      </w:r>
      <w:r w:rsidRPr="00F352D3">
        <w:rPr>
          <w:rFonts w:ascii="Tahoma" w:eastAsiaTheme="minorHAnsi" w:hAnsi="Tahoma" w:cs="Tahoma"/>
          <w:color w:val="00B050"/>
          <w:sz w:val="22"/>
          <w:szCs w:val="22"/>
          <w:lang w:eastAsia="en-US"/>
        </w:rPr>
        <w:t xml:space="preserve">apartado 14 del Cuadro de </w:t>
      </w:r>
      <w:r w:rsidRPr="00F352D3">
        <w:rPr>
          <w:rFonts w:ascii="Tahoma" w:eastAsiaTheme="minorHAnsi" w:hAnsi="Tahoma" w:cs="Tahoma"/>
          <w:color w:val="00B050"/>
          <w:sz w:val="22"/>
          <w:szCs w:val="22"/>
          <w:lang w:eastAsia="en-US"/>
        </w:rPr>
        <w:lastRenderedPageBreak/>
        <w:t>Características del Contrato,</w:t>
      </w:r>
      <w:r w:rsidRPr="00F352D3">
        <w:rPr>
          <w:rFonts w:ascii="Tahoma" w:eastAsiaTheme="minorHAnsi" w:hAnsi="Tahoma" w:cs="Tahoma"/>
          <w:sz w:val="22"/>
          <w:szCs w:val="22"/>
          <w:lang w:eastAsia="en-US"/>
        </w:rPr>
        <w:t xml:space="preserve"> la información sobre las condiciones de los contratos de los trabajadores a los que afecte la subrogación que resulte necesaria para permitir una exacta evaluación de los costes laborales que implicará tal medida, debiendo hacer constar igualmente que tal información se facilita en cumplimiento de lo previsto en el </w:t>
      </w:r>
      <w:hyperlink r:id="rId67" w:anchor="I950');" w:tooltip="enlace" w:history="1">
        <w:r w:rsidRPr="00F352D3">
          <w:rPr>
            <w:rFonts w:ascii="Tahoma" w:eastAsiaTheme="minorHAnsi" w:hAnsi="Tahoma" w:cs="Tahoma"/>
            <w:sz w:val="22"/>
            <w:szCs w:val="22"/>
            <w:lang w:eastAsia="en-US"/>
          </w:rPr>
          <w:t>artículo 130 de la LCSP 2017</w:t>
        </w:r>
      </w:hyperlink>
      <w:r w:rsidRPr="00F352D3">
        <w:rPr>
          <w:rFonts w:ascii="Tahoma" w:eastAsiaTheme="minorHAnsi" w:hAnsi="Tahoma" w:cs="Tahoma"/>
          <w:sz w:val="22"/>
          <w:szCs w:val="22"/>
          <w:lang w:eastAsia="en-US"/>
        </w:rPr>
        <w:t>.</w:t>
      </w:r>
    </w:p>
    <w:p w14:paraId="6563904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A estos efectos, la empresa que viniese efectuando la prestación objeto del contrato a adjudicar y que tenga la condición de empleadora de los trabajadores afectados estará obligada a proporcionar la referida información al órgano de contratación, a requerimiento de este. Como parte de esta información en todo caso se deberán aportar los listados del personal objeto de subrogación, indicándose: el convenio colectivo de aplicación y los detalles de categoría, tipo de contrato, jornada, fecha de antigüedad, vencimiento del contrato, salario bruto anual de cada trabajador, así como todos los pactos en vigor aplicables a los trabajadores a los que afecte la subrogación. La Entidad Local comunicará al nuevo empresario la información que le hubiere sido facilitada por el anterior contratista. Lo señalado resultará igualmente de aplicación a los socios trabajadores de las cooperativas cuando éstos estuvieran adscritos al servicio o actividad objeto de la subrogación.</w:t>
      </w:r>
    </w:p>
    <w:p w14:paraId="37A366D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Si una vez producida la subrogación los costes laborales fueran superiores a los que se desprendieran de la información facilitada por el antiguo contratista al órgano de contratación, el contratista tendrá acción directa contra el antiguo contratista.</w:t>
      </w:r>
    </w:p>
    <w:p w14:paraId="12ADE90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Sin perjuicio de la aplicación, en su caso, de lo establecido en el </w:t>
      </w:r>
      <w:hyperlink r:id="rId68" w:anchor="I398');" w:tooltip="enlace" w:history="1">
        <w:r w:rsidRPr="00F352D3">
          <w:rPr>
            <w:rFonts w:ascii="Tahoma" w:eastAsiaTheme="minorHAnsi" w:hAnsi="Tahoma" w:cs="Tahoma"/>
            <w:sz w:val="22"/>
            <w:szCs w:val="22"/>
            <w:lang w:eastAsia="en-US"/>
          </w:rPr>
          <w:t>artículo 44 del Texto Refundido de la Ley del Estatuto de los Trabajadores, aprobado por Real Decreto Legislativo 2/2015, de 23 de octubre</w:t>
        </w:r>
      </w:hyperlink>
      <w:r w:rsidRPr="00F352D3">
        <w:rPr>
          <w:rFonts w:ascii="Tahoma" w:eastAsiaTheme="minorHAnsi" w:hAnsi="Tahoma" w:cs="Tahoma"/>
          <w:sz w:val="22"/>
          <w:szCs w:val="22"/>
          <w:lang w:eastAsia="en-US"/>
        </w:rPr>
        <w:t>, el contratista debe responder de los salarios impagados a los trabajadores afectados por subrogación, así como de las cotizaciones a la Seguridad social devengadas, aún en el supuesto de que se resuelva el contrato y aquellos sean subrogados por el nuevo contratista, sin que en ningún caso dicha obligación corresponda a este último.</w:t>
      </w:r>
    </w:p>
    <w:p w14:paraId="34D27D7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este caso, la Entidad Local, una vez acreditada la falta de pago de los citados salarios, procederá a la retención de las cantidades debidas al contratista para garantizar el pago de los citados salarios, y a la no devolución de la garantía definitiva en tanto no se acredite el abono de éstos.</w:t>
      </w:r>
    </w:p>
    <w:p w14:paraId="0A247E6D"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32.- Subcontratación</w:t>
      </w:r>
    </w:p>
    <w:p w14:paraId="3512CB8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contratista podrá concertar con terceros la realización parcial de la prestación con sujeción a lo señalado en el </w:t>
      </w:r>
      <w:r w:rsidRPr="00F352D3">
        <w:rPr>
          <w:rFonts w:ascii="Tahoma" w:eastAsiaTheme="minorHAnsi" w:hAnsi="Tahoma" w:cs="Tahoma"/>
          <w:color w:val="00B050"/>
          <w:sz w:val="22"/>
          <w:szCs w:val="22"/>
          <w:lang w:eastAsia="en-US"/>
        </w:rPr>
        <w:t>apartado 18 del Cuadro de Características del Contrato</w:t>
      </w:r>
      <w:r w:rsidRPr="00F352D3">
        <w:rPr>
          <w:rFonts w:ascii="Tahoma" w:eastAsiaTheme="minorHAnsi" w:hAnsi="Tahoma" w:cs="Tahoma"/>
          <w:sz w:val="22"/>
          <w:szCs w:val="22"/>
          <w:lang w:eastAsia="en-US"/>
        </w:rPr>
        <w:t xml:space="preserve">. </w:t>
      </w:r>
    </w:p>
    <w:p w14:paraId="2D17C3A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ningún caso la limitación de la subcontratación podrá suponer que se produzca una restricción efectiva de la competencia.</w:t>
      </w:r>
    </w:p>
    <w:p w14:paraId="03B9B8E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celebración de los subcontratos estará sometida al cumplimiento de los siguientes requisitos:</w:t>
      </w:r>
    </w:p>
    <w:p w14:paraId="06F86572"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contratista </w:t>
      </w:r>
      <w:r w:rsidRPr="00F352D3">
        <w:rPr>
          <w:rFonts w:ascii="Tahoma" w:eastAsiaTheme="minorHAnsi" w:hAnsi="Tahoma" w:cs="Tahoma"/>
          <w:color w:val="00B050"/>
          <w:sz w:val="22"/>
          <w:szCs w:val="22"/>
          <w:lang w:eastAsia="en-US"/>
        </w:rPr>
        <w:t xml:space="preserve">debe comunicar por escrito, tras la adjudicación del contrato y, a más tardar, cuando inicie la ejecución de éste, </w:t>
      </w:r>
      <w:r w:rsidRPr="00F352D3">
        <w:rPr>
          <w:rFonts w:ascii="Tahoma" w:eastAsiaTheme="minorHAnsi" w:hAnsi="Tahoma" w:cs="Tahoma"/>
          <w:sz w:val="22"/>
          <w:szCs w:val="22"/>
          <w:lang w:eastAsia="en-US"/>
        </w:rPr>
        <w:t xml:space="preserve">al órgano de contratación la intención de </w:t>
      </w:r>
      <w:r w:rsidRPr="00F352D3">
        <w:rPr>
          <w:rFonts w:ascii="Tahoma" w:eastAsiaTheme="minorHAnsi" w:hAnsi="Tahoma" w:cs="Tahoma"/>
          <w:sz w:val="22"/>
          <w:szCs w:val="22"/>
          <w:lang w:eastAsia="en-US"/>
        </w:rPr>
        <w:lastRenderedPageBreak/>
        <w:t>celebrar los subcontratos, señalando la parte de la prestación que se pretende subcontratar y la identidad, datos de contacto y representante o representantes legales del subcontratista, y justificando suficientemente la aptitud de este y acreditando que el mismo no se encuentra incurso en prohibición de contratar.</w:t>
      </w:r>
    </w:p>
    <w:p w14:paraId="025877D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contratista principal </w:t>
      </w:r>
      <w:r w:rsidRPr="00F352D3">
        <w:rPr>
          <w:rFonts w:ascii="Tahoma" w:eastAsiaTheme="minorHAnsi" w:hAnsi="Tahoma" w:cs="Tahoma"/>
          <w:color w:val="00B050"/>
          <w:sz w:val="22"/>
          <w:szCs w:val="22"/>
          <w:lang w:eastAsia="en-US"/>
        </w:rPr>
        <w:t>deberá notificar por escrito al órgano de contratación cualquier modificación que sufra esta información durante la ejecución del contrato principal</w:t>
      </w:r>
      <w:r w:rsidRPr="00F352D3">
        <w:rPr>
          <w:rFonts w:ascii="Tahoma" w:eastAsiaTheme="minorHAnsi" w:hAnsi="Tahoma" w:cs="Tahoma"/>
          <w:sz w:val="22"/>
          <w:szCs w:val="22"/>
          <w:lang w:eastAsia="en-US"/>
        </w:rPr>
        <w:t>, y toda la información necesaria sobre los nuevos subcontratistas.</w:t>
      </w:r>
    </w:p>
    <w:p w14:paraId="16FB54F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el caso que el subcontratista tuviera la clasificación adecuada para realizar la parte del contrato objeto de la subcontratación, la comunicación de esta circunstancia será suficiente para acreditar la aptitud del mismo.</w:t>
      </w:r>
    </w:p>
    <w:p w14:paraId="42F869D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acreditación de la aptitud del subcontratista podrá realizarse inmediatamente después de la celebración del subcontrato si esta es necesaria para atender a una situación de emergencia o que exija la adopción de medidas urgentes y así se justifica suficientemente.</w:t>
      </w:r>
    </w:p>
    <w:p w14:paraId="4F015E9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Los subcontratos que no se ajusten a lo indicado en la oferta, por celebrarse con empresarios distintos de los indicados nominativamente en la misma o por referirse a partes de la prestación diferentes a las señaladas en ella, </w:t>
      </w:r>
      <w:r w:rsidRPr="00F352D3">
        <w:rPr>
          <w:rFonts w:ascii="Tahoma" w:eastAsiaTheme="minorHAnsi" w:hAnsi="Tahoma" w:cs="Tahoma"/>
          <w:color w:val="00B050"/>
          <w:sz w:val="22"/>
          <w:szCs w:val="22"/>
          <w:lang w:eastAsia="en-US"/>
        </w:rPr>
        <w:t>no podrán celebrarse hasta que transcurran veinte días desde que se hubiese cursado la notificación y aportado las justificaciones sobre su capacidad y ausencia de prohibición para contratar</w:t>
      </w:r>
      <w:r w:rsidRPr="00F352D3">
        <w:rPr>
          <w:rFonts w:ascii="Tahoma" w:eastAsiaTheme="minorHAnsi" w:hAnsi="Tahoma" w:cs="Tahoma"/>
          <w:sz w:val="22"/>
          <w:szCs w:val="22"/>
          <w:lang w:eastAsia="en-US"/>
        </w:rPr>
        <w:t>, salvo que con anterioridad hubiesen sido autorizados expresamente, siempre que la Administración no hubiese notificado dentro de este plazo su oposición a los mismos. Este régimen será igualmente aplicable si los subcontratistas hubiesen sido identificados en la oferta mediante la descripción de su perfil profesional.</w:t>
      </w:r>
    </w:p>
    <w:p w14:paraId="02964F2D"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w:t>
      </w:r>
    </w:p>
    <w:p w14:paraId="5B682B0B"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La infracción de tales condiciones para proceder a la subcontratación, así como la falta de acreditación de la aptitud del subcontratista o de las circunstancias determinantes de la situación de emergencia o de las que hacen urgente la subcontratación, tendrá, entre otras previstas en la </w:t>
      </w:r>
      <w:hyperlink r:id="rId69" w:tooltip="enlace" w:history="1">
        <w:r w:rsidRPr="00F352D3">
          <w:rPr>
            <w:rFonts w:ascii="Tahoma" w:eastAsiaTheme="minorHAnsi" w:hAnsi="Tahoma" w:cs="Tahoma"/>
            <w:sz w:val="22"/>
            <w:szCs w:val="22"/>
            <w:lang w:eastAsia="en-US"/>
          </w:rPr>
          <w:t>LCSP 2017</w:t>
        </w:r>
      </w:hyperlink>
      <w:r w:rsidRPr="00F352D3">
        <w:rPr>
          <w:rFonts w:ascii="Tahoma" w:eastAsiaTheme="minorHAnsi" w:hAnsi="Tahoma" w:cs="Tahoma"/>
          <w:sz w:val="22"/>
          <w:szCs w:val="22"/>
          <w:lang w:eastAsia="en-US"/>
        </w:rPr>
        <w:t xml:space="preserve">, y en función de la repercusión en la ejecución del contrato, alguna de las siguientes consecuencias. </w:t>
      </w:r>
    </w:p>
    <w:p w14:paraId="46481998"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sz w:val="22"/>
          <w:szCs w:val="22"/>
          <w:lang w:eastAsia="en-US"/>
        </w:rPr>
        <w:t>a</w:t>
      </w:r>
      <w:r w:rsidRPr="00F352D3">
        <w:rPr>
          <w:rFonts w:ascii="Tahoma" w:eastAsiaTheme="minorHAnsi" w:hAnsi="Tahoma" w:cs="Tahoma"/>
          <w:color w:val="00B050"/>
          <w:sz w:val="22"/>
          <w:szCs w:val="22"/>
          <w:lang w:eastAsia="en-US"/>
        </w:rPr>
        <w:t xml:space="preserve">) La imposición al contratista de una penalidad de hasta un </w:t>
      </w:r>
      <w:r w:rsidRPr="00F352D3">
        <w:rPr>
          <w:rFonts w:ascii="Tahoma" w:eastAsiaTheme="minorHAnsi" w:hAnsi="Tahoma" w:cs="Tahoma"/>
          <w:color w:val="FF0000"/>
          <w:sz w:val="22"/>
          <w:szCs w:val="22"/>
          <w:lang w:eastAsia="en-US"/>
        </w:rPr>
        <w:t>50 por 100</w:t>
      </w:r>
      <w:r w:rsidRPr="00F352D3">
        <w:rPr>
          <w:rFonts w:ascii="Tahoma" w:eastAsiaTheme="minorHAnsi" w:hAnsi="Tahoma" w:cs="Tahoma"/>
          <w:color w:val="00B050"/>
          <w:sz w:val="22"/>
          <w:szCs w:val="22"/>
          <w:lang w:eastAsia="en-US"/>
        </w:rPr>
        <w:t xml:space="preserve"> del importe del subcontrato.</w:t>
      </w:r>
    </w:p>
    <w:p w14:paraId="570AA978"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color w:val="00B050"/>
          <w:sz w:val="22"/>
          <w:szCs w:val="22"/>
          <w:lang w:eastAsia="en-US"/>
        </w:rPr>
        <w:t xml:space="preserve">b) La resolución del contrato, siempre y cuando se cumplan los requisitos establecidos en el segundo párrafo de la letra f) del apartado 1 del </w:t>
      </w:r>
      <w:hyperlink r:id="rId70" w:anchor="I1502');" w:tooltip="enlace" w:history="1">
        <w:r w:rsidRPr="00F352D3">
          <w:rPr>
            <w:rFonts w:ascii="Tahoma" w:eastAsiaTheme="minorHAnsi" w:hAnsi="Tahoma" w:cs="Tahoma"/>
            <w:color w:val="00B050"/>
            <w:sz w:val="22"/>
            <w:szCs w:val="22"/>
            <w:lang w:eastAsia="en-US"/>
          </w:rPr>
          <w:t>artículo 211 de la LCSP 2017</w:t>
        </w:r>
      </w:hyperlink>
      <w:r w:rsidRPr="00F352D3">
        <w:rPr>
          <w:rFonts w:ascii="Tahoma" w:eastAsiaTheme="minorHAnsi" w:hAnsi="Tahoma" w:cs="Tahoma"/>
          <w:color w:val="00B050"/>
          <w:sz w:val="22"/>
          <w:szCs w:val="22"/>
          <w:lang w:eastAsia="en-US"/>
        </w:rPr>
        <w:t>.</w:t>
      </w:r>
    </w:p>
    <w:p w14:paraId="4F1444D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Los subcontratistas quedarán obligados solo ante el contratista principal que asumirá, por tanto, la total responsabilidad de la ejecución del contrato frente a la Administración, con arreglo estricto a los pliegos de cláusulas administrativas </w:t>
      </w:r>
      <w:r w:rsidRPr="00F352D3">
        <w:rPr>
          <w:rFonts w:ascii="Tahoma" w:eastAsiaTheme="minorHAnsi" w:hAnsi="Tahoma" w:cs="Tahoma"/>
          <w:sz w:val="22"/>
          <w:szCs w:val="22"/>
          <w:lang w:eastAsia="en-US"/>
        </w:rPr>
        <w:lastRenderedPageBreak/>
        <w:t>particulares y a los términos del contrato, incluido el cumplimiento de las obligaciones en materia medioambiental, social o laboral.</w:t>
      </w:r>
    </w:p>
    <w:p w14:paraId="57A2140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conocimiento que tenga la Administración de los subcontratos celebrados en virtud de las comunicaciones que el contratista deba realizar, o la autorización que otorgue en los contratos de carácter secreto o reservado, o en aquellos cuya ejecución deba ir acompañada de medidas de seguridad especiales, no alterarán la responsabilidad exclusiva del contratista principal.</w:t>
      </w:r>
    </w:p>
    <w:p w14:paraId="7FE6DFD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En ningún caso podrá concertarse por el contratista la ejecución parcial del contrato con personas inhabilitadas para contratar de acuerdo con el ordenamiento jurídico o comprendidas en alguno de los supuestos del </w:t>
      </w:r>
      <w:hyperlink r:id="rId71" w:anchor="I523');" w:tooltip="enlace" w:history="1">
        <w:r w:rsidRPr="00F352D3">
          <w:rPr>
            <w:rFonts w:ascii="Tahoma" w:eastAsiaTheme="minorHAnsi" w:hAnsi="Tahoma" w:cs="Tahoma"/>
            <w:sz w:val="22"/>
            <w:szCs w:val="22"/>
            <w:lang w:eastAsia="en-US"/>
          </w:rPr>
          <w:t>artículo 71 de la LCSP 2017</w:t>
        </w:r>
      </w:hyperlink>
      <w:r w:rsidRPr="00F352D3">
        <w:rPr>
          <w:rFonts w:ascii="Tahoma" w:eastAsiaTheme="minorHAnsi" w:hAnsi="Tahoma" w:cs="Tahoma"/>
          <w:sz w:val="22"/>
          <w:szCs w:val="22"/>
          <w:lang w:eastAsia="en-US"/>
        </w:rPr>
        <w:t>.</w:t>
      </w:r>
    </w:p>
    <w:p w14:paraId="5725A3F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contratista deberá informar a los representantes de los trabajadores de la subcontratación, de acuerdo con la legislación laboral.</w:t>
      </w:r>
    </w:p>
    <w:p w14:paraId="5A0F9CA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Los subcontratistas no tendrán en ningún caso acción directa frente a la Entidad Local contratante por las obligaciones contraídas con ellos por el contratista como consecuencia de la ejecución del contrato principal y de los subcontratos, sin perjuicio de la </w:t>
      </w:r>
      <w:hyperlink r:id="rId72" w:anchor="I2697');" w:tooltip="enlace" w:history="1">
        <w:r w:rsidRPr="00F352D3">
          <w:rPr>
            <w:rFonts w:ascii="Tahoma" w:eastAsiaTheme="minorHAnsi" w:hAnsi="Tahoma" w:cs="Tahoma"/>
            <w:sz w:val="22"/>
            <w:szCs w:val="22"/>
            <w:lang w:eastAsia="en-US"/>
          </w:rPr>
          <w:t>disposición adicional quincuagésima primera de la LCSP 2017</w:t>
        </w:r>
      </w:hyperlink>
      <w:r w:rsidRPr="00F352D3">
        <w:rPr>
          <w:rFonts w:ascii="Tahoma" w:eastAsiaTheme="minorHAnsi" w:hAnsi="Tahoma" w:cs="Tahoma"/>
          <w:sz w:val="22"/>
          <w:szCs w:val="22"/>
          <w:lang w:eastAsia="en-US"/>
        </w:rPr>
        <w:t>.</w:t>
      </w:r>
    </w:p>
    <w:p w14:paraId="23FAC5A2"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33.- Penalidades por incumplimiento de obligaciones contractuales</w:t>
      </w:r>
    </w:p>
    <w:p w14:paraId="667CAC72"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cumplimiento defectuoso de la prestación objeto del contrato, el incumplimiento del compromiso de adscribir a la ejecución del contrato los medios personales o materiales suficientes para ello, o de las condiciones especiales de ejecución del contrato que se hubiesen establecido conforme al apartado 2 del </w:t>
      </w:r>
      <w:hyperlink r:id="rId73" w:anchor="I567');" w:tooltip="enlace" w:history="1">
        <w:r w:rsidRPr="00F352D3">
          <w:rPr>
            <w:rFonts w:ascii="Tahoma" w:eastAsiaTheme="minorHAnsi" w:hAnsi="Tahoma" w:cs="Tahoma"/>
            <w:sz w:val="22"/>
            <w:szCs w:val="22"/>
            <w:lang w:eastAsia="en-US"/>
          </w:rPr>
          <w:t>artículo 76 de la LCSP 2017</w:t>
        </w:r>
      </w:hyperlink>
      <w:r w:rsidRPr="00F352D3">
        <w:rPr>
          <w:rFonts w:ascii="Tahoma" w:eastAsiaTheme="minorHAnsi" w:hAnsi="Tahoma" w:cs="Tahoma"/>
          <w:sz w:val="22"/>
          <w:szCs w:val="22"/>
          <w:lang w:eastAsia="en-US"/>
        </w:rPr>
        <w:t xml:space="preserve"> y al apartado 1 del </w:t>
      </w:r>
      <w:hyperlink r:id="rId74" w:anchor="I1438');" w:tooltip="enlace" w:history="1">
        <w:r w:rsidRPr="00F352D3">
          <w:rPr>
            <w:rFonts w:ascii="Tahoma" w:eastAsiaTheme="minorHAnsi" w:hAnsi="Tahoma" w:cs="Tahoma"/>
            <w:sz w:val="22"/>
            <w:szCs w:val="22"/>
            <w:lang w:eastAsia="en-US"/>
          </w:rPr>
          <w:t>artículo 202 de la LCSP 2017</w:t>
        </w:r>
      </w:hyperlink>
      <w:r w:rsidRPr="00F352D3">
        <w:rPr>
          <w:rFonts w:ascii="Tahoma" w:eastAsiaTheme="minorHAnsi" w:hAnsi="Tahoma" w:cs="Tahoma"/>
          <w:sz w:val="22"/>
          <w:szCs w:val="22"/>
          <w:lang w:eastAsia="en-US"/>
        </w:rPr>
        <w:t xml:space="preserve"> darán lugar a la imposición de las penalidades previstas en el </w:t>
      </w:r>
      <w:r w:rsidRPr="00F352D3">
        <w:rPr>
          <w:rFonts w:ascii="Tahoma" w:eastAsiaTheme="minorHAnsi" w:hAnsi="Tahoma" w:cs="Tahoma"/>
          <w:color w:val="00B050"/>
          <w:sz w:val="22"/>
          <w:szCs w:val="22"/>
          <w:lang w:eastAsia="en-US"/>
        </w:rPr>
        <w:t>apartado 20 del Cuadro de Características del Contrato</w:t>
      </w:r>
      <w:r w:rsidRPr="00F352D3">
        <w:rPr>
          <w:rFonts w:ascii="Tahoma" w:eastAsiaTheme="minorHAnsi" w:hAnsi="Tahoma" w:cs="Tahoma"/>
          <w:sz w:val="22"/>
          <w:szCs w:val="22"/>
          <w:lang w:eastAsia="en-US"/>
        </w:rPr>
        <w:t>.</w:t>
      </w:r>
    </w:p>
    <w:p w14:paraId="57F06E0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Si el contratista, por causas imputables al mismo, hubiere </w:t>
      </w:r>
      <w:r w:rsidRPr="00F352D3">
        <w:rPr>
          <w:rFonts w:ascii="Tahoma" w:eastAsiaTheme="minorHAnsi" w:hAnsi="Tahoma" w:cs="Tahoma"/>
          <w:color w:val="00B050"/>
          <w:sz w:val="22"/>
          <w:szCs w:val="22"/>
          <w:lang w:eastAsia="en-US"/>
        </w:rPr>
        <w:t>incumplido parcialmente</w:t>
      </w:r>
      <w:r w:rsidRPr="00F352D3">
        <w:rPr>
          <w:rFonts w:ascii="Tahoma" w:eastAsiaTheme="minorHAnsi" w:hAnsi="Tahoma" w:cs="Tahoma"/>
          <w:sz w:val="22"/>
          <w:szCs w:val="22"/>
          <w:lang w:eastAsia="en-US"/>
        </w:rPr>
        <w:t xml:space="preserve"> la ejecución del contrato, la Entidad Local podrá optar, atendidas las circunstancias del caso, por su resolución o por la imposición de las penalidades previstas en el citado apartado 20.</w:t>
      </w:r>
    </w:p>
    <w:p w14:paraId="3DB9C980"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contratista está obligado a cumplir el contrato dentro del plazo total fijado para la realización del mismo, así como de los plazos parciales señalados para su ejecución sucesiva. La constitución en mora del contratista no precisará intimación previa por parte de la Administración.</w:t>
      </w:r>
    </w:p>
    <w:p w14:paraId="1B740DD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Cuando el contratista, por causas imputables al mismo, </w:t>
      </w:r>
      <w:r w:rsidRPr="00F352D3">
        <w:rPr>
          <w:rFonts w:ascii="Tahoma" w:eastAsiaTheme="minorHAnsi" w:hAnsi="Tahoma" w:cs="Tahoma"/>
          <w:color w:val="00B050"/>
          <w:sz w:val="22"/>
          <w:szCs w:val="22"/>
          <w:lang w:eastAsia="en-US"/>
        </w:rPr>
        <w:t>hubiere incurrido en demora</w:t>
      </w:r>
      <w:r w:rsidRPr="00F352D3">
        <w:rPr>
          <w:rFonts w:ascii="Tahoma" w:eastAsiaTheme="minorHAnsi" w:hAnsi="Tahoma" w:cs="Tahoma"/>
          <w:sz w:val="22"/>
          <w:szCs w:val="22"/>
          <w:lang w:eastAsia="en-US"/>
        </w:rPr>
        <w:t xml:space="preserve"> respecto al cumplimiento del plazo total, la Entidad Local podrá optar, atendidas las circunstancias del caso, por la resolución del contrato o por la imposición de las penalidades diarias en la proporción de </w:t>
      </w:r>
      <w:r w:rsidRPr="00F352D3">
        <w:rPr>
          <w:rFonts w:ascii="Tahoma" w:eastAsiaTheme="minorHAnsi" w:hAnsi="Tahoma" w:cs="Tahoma"/>
          <w:color w:val="FF0000"/>
          <w:sz w:val="22"/>
          <w:szCs w:val="22"/>
          <w:lang w:eastAsia="en-US"/>
        </w:rPr>
        <w:t>0,60 euros por cada 1.000 euros</w:t>
      </w:r>
      <w:r w:rsidRPr="00F352D3">
        <w:rPr>
          <w:rFonts w:ascii="Tahoma" w:eastAsiaTheme="minorHAnsi" w:hAnsi="Tahoma" w:cs="Tahoma"/>
          <w:sz w:val="22"/>
          <w:szCs w:val="22"/>
          <w:lang w:eastAsia="en-US"/>
        </w:rPr>
        <w:t xml:space="preserve"> del precio del contrato, IVA excluido, atendiendo a las especiales características del contrato, para su correcta ejecución y así se justifique en el expediente.</w:t>
      </w:r>
    </w:p>
    <w:p w14:paraId="4E44B35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Cada vez que las penalidades por demora alcancen un múltiplo del </w:t>
      </w:r>
      <w:r w:rsidRPr="00F352D3">
        <w:rPr>
          <w:rFonts w:ascii="Tahoma" w:eastAsiaTheme="minorHAnsi" w:hAnsi="Tahoma" w:cs="Tahoma"/>
          <w:color w:val="FF0000"/>
          <w:sz w:val="22"/>
          <w:szCs w:val="22"/>
          <w:lang w:eastAsia="en-US"/>
        </w:rPr>
        <w:t>5 por 100</w:t>
      </w:r>
      <w:r w:rsidRPr="00F352D3">
        <w:rPr>
          <w:rFonts w:ascii="Tahoma" w:eastAsiaTheme="minorHAnsi" w:hAnsi="Tahoma" w:cs="Tahoma"/>
          <w:sz w:val="22"/>
          <w:szCs w:val="22"/>
          <w:lang w:eastAsia="en-US"/>
        </w:rPr>
        <w:t xml:space="preserve"> del precio del contrato, IVA excluido, el órgano de contratación estará facultado para proceder a </w:t>
      </w:r>
      <w:r w:rsidRPr="00F352D3">
        <w:rPr>
          <w:rFonts w:ascii="Tahoma" w:eastAsiaTheme="minorHAnsi" w:hAnsi="Tahoma" w:cs="Tahoma"/>
          <w:sz w:val="22"/>
          <w:szCs w:val="22"/>
          <w:lang w:eastAsia="en-US"/>
        </w:rPr>
        <w:lastRenderedPageBreak/>
        <w:t>la resolución del mismo o acordar la continuidad de su ejecución con imposición de nuevas penalidades.</w:t>
      </w:r>
    </w:p>
    <w:p w14:paraId="3CA2266B"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Entidad Local tendrá las mismas facultades respecto al incumplimiento por parte del contratista de los plazos parciales, cuando la demora en el cumplimiento de aquellos haga presumir razonablemente la imposibilidad de cumplir el plazo total.</w:t>
      </w:r>
    </w:p>
    <w:p w14:paraId="33A8A7B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los supuestos de incumplimiento parcial o cumplimiento defectuoso o de demora en la ejecución en que no esté prevista penalidad o en que estándolo la misma no cubriera los daños causados a la Entidad Local, esta exigirá al contratista la indemnización por daños y perjuicios.</w:t>
      </w:r>
    </w:p>
    <w:p w14:paraId="6837174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Las penalidades se impondrán por acuerdo del órgano de contratación, adoptado a propuesta del responsable del contrato si se hubiese designado, que será inmediatamente ejecutivo, y se harán efectivas mediante deducción de las cantidades que, en concepto de pago total o parcial, deban abonarse al contratista o sobre la garantía que, en su caso, se hubiese constituido, cuando no puedan deducirse de los mencionados pagos.</w:t>
      </w:r>
    </w:p>
    <w:p w14:paraId="248606E5"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34.- Cesión del contrato</w:t>
      </w:r>
    </w:p>
    <w:p w14:paraId="44C346D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Los derechos y obligaciones dimanantes del contrato podrán ser cedidos por el contratista a un tercero siempre que las cualidades técnicas o personales del cedente no hayan sido razón determinante de la adjudicación del contrato, y de la cesión no resulte una restricción efectiva de la competencia en el mercado. No podrá autorizarse la cesión a un tercero cuando esta suponga una alteración sustancial de las características del contratista si estas constituyen un elemento esencial del contrato.</w:t>
      </w:r>
    </w:p>
    <w:p w14:paraId="1280D902"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órgano de contratación ha de autorizar, de forma previa y expresa, la cesión. Dicha autorización se otorgará siempre que se den los requisitos que se señalan después. El plazo para la notificación de la resolución sobre la solicitud de autorización será de </w:t>
      </w:r>
      <w:r w:rsidRPr="00F352D3">
        <w:rPr>
          <w:rFonts w:ascii="Tahoma" w:eastAsiaTheme="minorHAnsi" w:hAnsi="Tahoma" w:cs="Tahoma"/>
          <w:color w:val="00B050"/>
          <w:sz w:val="22"/>
          <w:szCs w:val="22"/>
          <w:lang w:eastAsia="en-US"/>
        </w:rPr>
        <w:t>dos meses</w:t>
      </w:r>
      <w:r w:rsidRPr="00F352D3">
        <w:rPr>
          <w:rFonts w:ascii="Tahoma" w:eastAsiaTheme="minorHAnsi" w:hAnsi="Tahoma" w:cs="Tahoma"/>
          <w:sz w:val="22"/>
          <w:szCs w:val="22"/>
          <w:lang w:eastAsia="en-US"/>
        </w:rPr>
        <w:t>, trascurrido el cual deberá entenderse otorgada por silencio administrativo.</w:t>
      </w:r>
    </w:p>
    <w:p w14:paraId="7411D8B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Que el cedente tenga ejecutado al menos un 20 por 100 del importe del contrato. No será de aplicación este requisito si la cesión se produce encontrándose el contratista en concurso aunque se haya abierto la fase de liquidación, o ha puesto en conocimiento del juzgado competente para la declaración del concurso que ha iniciado negociaciones para alcanzar un acuerdo de refinanciación, o para obtener adhesiones a una propuesta anticipada de convenio, en los términos previstos en la legislación concursal.</w:t>
      </w:r>
    </w:p>
    <w:p w14:paraId="6BB4177B"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Que el cesionario tenga capacidad para contratar con la Entidad Local y la solvencia que resulte exigible en función de la fase de ejecución del contrato, debiendo estar debidamente clasificado si tal requisito ha sido exigido al cedente, y no estar incurso en una causa de prohibición de contratar.</w:t>
      </w:r>
    </w:p>
    <w:p w14:paraId="76F5C7A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Que la cesión se formalice, entre el adjudicatario y el cesionario, en escritura pública.</w:t>
      </w:r>
    </w:p>
    <w:p w14:paraId="4DF89F1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cesionario quedará subrogado en todos los derechos y obligaciones que corresponderían al cedente.</w:t>
      </w:r>
    </w:p>
    <w:p w14:paraId="55FC1E54"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lastRenderedPageBreak/>
        <w:t>Cláusula 35.- Obligaciones, gastos e impuestos exigibles al contratista</w:t>
      </w:r>
    </w:p>
    <w:p w14:paraId="442468B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Son de cuenta del contratista los gastos e impuestos, anuncios, ya sea en Boletines, Diarios Oficiales o en cualquier medio de comunicación, los de formalización del contrato en el supuesto de elevación a escritura pública, así como de cuantas licencias, autorizaciones y permisos que no dependan de esta Entidad Local y que procedan en orden a ejecutar correctamente las obras objeto del contrato.</w:t>
      </w:r>
    </w:p>
    <w:p w14:paraId="43D1F30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Asimismo vendrá obligado a satisfacer todos los gastos que la empresa deba realizar para el cumplimiento del contrato, como son los generales, financieros, de seguros, transportes y desplazamientos, materiales, instalaciones, honorarios del personal a su cargo, de comprobación y ensayo, tasas y toda clase de tributos, el IVA, el impuesto que por la realización de la actividad pudiera corresponder y cualesquiera otros que pudieran derivarse de la ejecución del contrato durante la vigencia del mismo, sin que por tanto puedan ser éstos repercutidos como partida independiente.</w:t>
      </w:r>
    </w:p>
    <w:p w14:paraId="6865E089"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36.- Ejecución de las obras</w:t>
      </w:r>
    </w:p>
    <w:p w14:paraId="2763C50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Las obras se ejecutarán con estricta sujeción a las estipulaciones contenidas en el pliego de cláusulas administrativas particulares y al proyecto que sirve de base al contrato y conforme a las instrucciones que en interpretación técnica de este diere al contratista la Dirección facultativa de las obras.</w:t>
      </w:r>
    </w:p>
    <w:p w14:paraId="398B896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Cuando las instrucciones fueren de carácter verbal, deberán ser ratificadas por escrito en el más breve plazo posible, para que sean vinculantes para las partes.</w:t>
      </w:r>
    </w:p>
    <w:p w14:paraId="3922C35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Durante el desarrollo de las obras y hasta que se cumpla el plazo de garantía el contratista es responsable de todos los defectos que en la construcción puedan advertirse.</w:t>
      </w:r>
    </w:p>
    <w:p w14:paraId="05AC4CFA"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37.- Comprobación del replanteo</w:t>
      </w:r>
    </w:p>
    <w:p w14:paraId="3E11D60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La ejecución del contrato de obras comenzará con el acta de comprobación del replanteo. A tales efectos, dentro del plazo que se consigne en el contrato que </w:t>
      </w:r>
      <w:r w:rsidRPr="00F352D3">
        <w:rPr>
          <w:rFonts w:ascii="Tahoma" w:eastAsiaTheme="minorHAnsi" w:hAnsi="Tahoma" w:cs="Tahoma"/>
          <w:color w:val="00B050"/>
          <w:sz w:val="22"/>
          <w:szCs w:val="22"/>
          <w:lang w:eastAsia="en-US"/>
        </w:rPr>
        <w:t>no podrá ser superior a un mes</w:t>
      </w:r>
      <w:r w:rsidRPr="00F352D3">
        <w:rPr>
          <w:rFonts w:ascii="Tahoma" w:eastAsiaTheme="minorHAnsi" w:hAnsi="Tahoma" w:cs="Tahoma"/>
          <w:sz w:val="22"/>
          <w:szCs w:val="22"/>
          <w:lang w:eastAsia="en-US"/>
        </w:rPr>
        <w:t xml:space="preserve"> desde la fecha de su formalización salvo casos excepcionales justificados, el servicio de la Entidad Local encargado de las obras procederá, en presencia del contratista, a efectuar la comprobación del replanteo hecho previamente a la licitación, extendiéndose acta del resultado que será firmada por ambas partes interesadas, remitiéndose un ejemplar de la misma al órgano que celebró el contrato.</w:t>
      </w:r>
    </w:p>
    <w:p w14:paraId="4D4CC81F"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38.- Principio de riesgo y ventura</w:t>
      </w:r>
    </w:p>
    <w:p w14:paraId="15A63796" w14:textId="77777777" w:rsidR="005F4B5F" w:rsidRPr="00F352D3" w:rsidRDefault="005F4B5F" w:rsidP="005F4B5F">
      <w:pPr>
        <w:spacing w:after="200" w:line="276" w:lineRule="auto"/>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La ejecución del contrato se realizará a riesgo y ventura del contratista sin perjuicio de lo previsto en el </w:t>
      </w:r>
      <w:hyperlink r:id="rId75" w:anchor="I1725');" w:tooltip="enlace" w:history="1">
        <w:r w:rsidRPr="00F352D3">
          <w:rPr>
            <w:rFonts w:ascii="Tahoma" w:eastAsiaTheme="minorHAnsi" w:hAnsi="Tahoma" w:cs="Tahoma"/>
            <w:sz w:val="22"/>
            <w:szCs w:val="22"/>
            <w:lang w:eastAsia="en-US"/>
          </w:rPr>
          <w:t>artículo 239 de la LCSP 2017</w:t>
        </w:r>
      </w:hyperlink>
      <w:r w:rsidRPr="00F352D3">
        <w:rPr>
          <w:rFonts w:ascii="Tahoma" w:eastAsiaTheme="minorHAnsi" w:hAnsi="Tahoma" w:cs="Tahoma"/>
          <w:sz w:val="22"/>
          <w:szCs w:val="22"/>
          <w:lang w:eastAsia="en-US"/>
        </w:rPr>
        <w:t xml:space="preserve"> para los supuestos de fuerza mayor.</w:t>
      </w:r>
    </w:p>
    <w:p w14:paraId="24AF45AB"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39.- Fuerza mayor</w:t>
      </w:r>
    </w:p>
    <w:p w14:paraId="7310723B"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lastRenderedPageBreak/>
        <w:t>En casos de fuerza mayor y siempre que no exista actuación imprudente por parte del contratista, este tendrá derecho a una indemnización por los daños y perjuicios, que se le hubieren producido en la ejecución del contrato.</w:t>
      </w:r>
    </w:p>
    <w:p w14:paraId="58FB3BB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Tendrán la consideración de casos de fuerza mayor los siguientes:</w:t>
      </w:r>
    </w:p>
    <w:p w14:paraId="392EC61B"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Los incendios causados por la electricidad atmosférica.</w:t>
      </w:r>
    </w:p>
    <w:p w14:paraId="5272BF7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Los fenómenos naturales de efectos catastróficos, como maremotos, terremotos, erupciones volcánicas, movimientos del terreno, temporales marítimos, inundaciones u otros semejantes.</w:t>
      </w:r>
    </w:p>
    <w:p w14:paraId="17291BC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Los destrozos ocasionados violentamente en tiempo de guerra, robos tumultuosos o alteraciones graves del orden público (</w:t>
      </w:r>
      <w:hyperlink r:id="rId76" w:anchor="I1725');" w:tooltip="enlace" w:history="1">
        <w:r w:rsidRPr="00F352D3">
          <w:rPr>
            <w:rFonts w:ascii="Tahoma" w:eastAsiaTheme="minorHAnsi" w:hAnsi="Tahoma" w:cs="Tahoma"/>
            <w:sz w:val="22"/>
            <w:szCs w:val="22"/>
            <w:lang w:eastAsia="en-US"/>
          </w:rPr>
          <w:t>artículo 239 de la LCSP 2017</w:t>
        </w:r>
      </w:hyperlink>
      <w:r w:rsidRPr="00F352D3">
        <w:rPr>
          <w:rFonts w:ascii="Tahoma" w:eastAsiaTheme="minorHAnsi" w:hAnsi="Tahoma" w:cs="Tahoma"/>
          <w:sz w:val="22"/>
          <w:szCs w:val="22"/>
          <w:lang w:eastAsia="en-US"/>
        </w:rPr>
        <w:t>).</w:t>
      </w:r>
    </w:p>
    <w:p w14:paraId="1F1B03A0"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40.- Responsabilidad del contratista por daños y perjuicios</w:t>
      </w:r>
    </w:p>
    <w:p w14:paraId="6A66C74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Será obligación del contratista indemnizar todos los daños y perjuicios que se causen a terceros como consecuencia de las operaciones que requiera la ejecución del contrato.</w:t>
      </w:r>
    </w:p>
    <w:p w14:paraId="03F894F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Cuando tales daños y perjuicios hayan sido ocasionados como consecuencia inmediata y directa de una orden de la Entidad Local, será esta responsable dentro de los límites señalados en las Leyes.</w:t>
      </w:r>
    </w:p>
    <w:p w14:paraId="72777FD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Los terceros podrán requerir previamente, </w:t>
      </w:r>
      <w:r w:rsidRPr="00F352D3">
        <w:rPr>
          <w:rFonts w:ascii="Tahoma" w:eastAsiaTheme="minorHAnsi" w:hAnsi="Tahoma" w:cs="Tahoma"/>
          <w:color w:val="00B050"/>
          <w:sz w:val="22"/>
          <w:szCs w:val="22"/>
          <w:lang w:eastAsia="en-US"/>
        </w:rPr>
        <w:t>dentro del año siguiente</w:t>
      </w:r>
      <w:r w:rsidRPr="00F352D3">
        <w:rPr>
          <w:rFonts w:ascii="Tahoma" w:eastAsiaTheme="minorHAnsi" w:hAnsi="Tahoma" w:cs="Tahoma"/>
          <w:sz w:val="22"/>
          <w:szCs w:val="22"/>
          <w:lang w:eastAsia="en-US"/>
        </w:rPr>
        <w:t xml:space="preserve"> a la producción del hecho, al órgano de contratación para que éste, oído el contratista, informe sobre a cuál de las partes contratantes corresponde la responsabilidad de los daños. El ejercicio de esta facultad interrumpe el plazo de prescripción de la acción.</w:t>
      </w:r>
    </w:p>
    <w:p w14:paraId="6D70A9E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reclamación de aquellos se formulará, en todo caso, conforme al procedimiento establecido en la legislación aplicable a cada supuesto.</w:t>
      </w:r>
    </w:p>
    <w:p w14:paraId="16330FB6"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41.- Plan de Seguridad y Salud en el Trabajo</w:t>
      </w:r>
    </w:p>
    <w:p w14:paraId="3FEE784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contratista deberá elaborar un Plan de Seguridad y Salud en el Trabajo en concreción del Estudio de Seguridad y Salud o, en su caso, del Estudio Básico de Salud, Plan que será aprobado por la Entidad Local, antes del inicio de la obra, previo informe del Coordinador en materia de seguridad y salud o de la Dirección facultativa de la obra, cuando no fuera preceptivo designar Coordinador.</w:t>
      </w:r>
    </w:p>
    <w:p w14:paraId="3A8940B7"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42.- Señalización de las obras</w:t>
      </w:r>
    </w:p>
    <w:p w14:paraId="3E848F2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Será de cuenta a del contratista la instalación de la señalización precisa que indique el acceso a la obra, la circulación en la zona que ocupan los trabajos, y los posibles peligros derivados de las obras.</w:t>
      </w:r>
    </w:p>
    <w:p w14:paraId="7E74FA32"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43.- Dirección y supervisión de las obras</w:t>
      </w:r>
    </w:p>
    <w:p w14:paraId="68AF5C5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Con independencia de la unidad encargada del seguimiento y ejecución ordinaria del contrato que señala el apartado 1 del Cuadro de Características del Contrato corresponde con carácter general al Director Facultativo de las obras supervisar su </w:t>
      </w:r>
      <w:r w:rsidRPr="00F352D3">
        <w:rPr>
          <w:rFonts w:ascii="Tahoma" w:eastAsiaTheme="minorHAnsi" w:hAnsi="Tahoma" w:cs="Tahoma"/>
          <w:sz w:val="22"/>
          <w:szCs w:val="22"/>
          <w:lang w:eastAsia="en-US"/>
        </w:rPr>
        <w:lastRenderedPageBreak/>
        <w:t>ejecución y adoptar las decisiones y dictar las instrucciones necesarias con el fin de asegurar la correcta realización de la prestación pactada (</w:t>
      </w:r>
      <w:hyperlink r:id="rId77" w:anchor="I464');" w:tooltip="enlace" w:history="1">
        <w:r w:rsidRPr="00F352D3">
          <w:rPr>
            <w:rFonts w:ascii="Tahoma" w:eastAsiaTheme="minorHAnsi" w:hAnsi="Tahoma" w:cs="Tahoma"/>
            <w:sz w:val="22"/>
            <w:szCs w:val="22"/>
            <w:lang w:eastAsia="en-US"/>
          </w:rPr>
          <w:t>artículo 62 de la LCSP 2017</w:t>
        </w:r>
      </w:hyperlink>
      <w:r w:rsidRPr="00F352D3">
        <w:rPr>
          <w:rFonts w:ascii="Tahoma" w:eastAsiaTheme="minorHAnsi" w:hAnsi="Tahoma" w:cs="Tahoma"/>
          <w:sz w:val="22"/>
          <w:szCs w:val="22"/>
          <w:lang w:eastAsia="en-US"/>
        </w:rPr>
        <w:t>).</w:t>
      </w:r>
    </w:p>
    <w:p w14:paraId="2A76E334" w14:textId="77777777" w:rsidR="005F4B5F" w:rsidRPr="00F352D3" w:rsidRDefault="005F4B5F" w:rsidP="005F4B5F">
      <w:pPr>
        <w:spacing w:after="200" w:line="276" w:lineRule="auto"/>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Director de la Obra</w:t>
      </w:r>
    </w:p>
    <w:p w14:paraId="2DF71B0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Corresponde al Director de la Obra la comprobación, coordinación, vigilancia e inspección de la correcta realización de la obra objeto del contrato.</w:t>
      </w:r>
    </w:p>
    <w:p w14:paraId="7BD5C7C4" w14:textId="77777777" w:rsidR="005F4B5F" w:rsidRPr="00F352D3" w:rsidRDefault="005F4B5F" w:rsidP="005F4B5F">
      <w:pPr>
        <w:spacing w:after="200" w:line="276" w:lineRule="auto"/>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Coordinador en materia de seguridad y salud</w:t>
      </w:r>
    </w:p>
    <w:p w14:paraId="535DA8A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En el caso de que en la ejecución de la obra intervenga más de un empresario, la Entidad Local designará un Coordinador en materia de seguridad y salud, integrado en la Dirección facultativa, para llevar a cabo las tareas que le confiere el </w:t>
      </w:r>
      <w:hyperlink r:id="rId78" w:anchor="I16');" w:tooltip="enlace" w:history="1">
        <w:r w:rsidRPr="00F352D3">
          <w:rPr>
            <w:rFonts w:ascii="Tahoma" w:eastAsiaTheme="minorHAnsi" w:hAnsi="Tahoma" w:cs="Tahoma"/>
            <w:sz w:val="22"/>
            <w:szCs w:val="22"/>
            <w:lang w:eastAsia="en-US"/>
          </w:rPr>
          <w:t>artículo 9 del Real Decreto 1627/1997 de 24 de octubre</w:t>
        </w:r>
      </w:hyperlink>
      <w:r w:rsidRPr="00F352D3">
        <w:rPr>
          <w:rFonts w:ascii="Tahoma" w:eastAsiaTheme="minorHAnsi" w:hAnsi="Tahoma" w:cs="Tahoma"/>
          <w:sz w:val="22"/>
          <w:szCs w:val="22"/>
          <w:lang w:eastAsia="en-US"/>
        </w:rPr>
        <w:t xml:space="preserve"> por el que se establecen disposiciones mínimas de seguridad y de salud en las obras de construcción, funciones que cuando no se precise la designación de Coordinador serán asumidas por la Dirección facultativa.</w:t>
      </w:r>
    </w:p>
    <w:p w14:paraId="4B1D0C6D" w14:textId="77777777" w:rsidR="005F4B5F" w:rsidRPr="00F352D3" w:rsidRDefault="005F4B5F" w:rsidP="005F4B5F">
      <w:pPr>
        <w:spacing w:after="200" w:line="276" w:lineRule="auto"/>
        <w:rPr>
          <w:rFonts w:ascii="Tahoma" w:eastAsiaTheme="minorHAnsi" w:hAnsi="Tahoma" w:cs="Tahoma"/>
          <w:b/>
          <w:color w:val="00B050"/>
          <w:sz w:val="22"/>
          <w:szCs w:val="22"/>
          <w:lang w:eastAsia="en-US"/>
        </w:rPr>
      </w:pPr>
      <w:r w:rsidRPr="00F352D3">
        <w:rPr>
          <w:rFonts w:ascii="Tahoma" w:eastAsiaTheme="minorHAnsi" w:hAnsi="Tahoma" w:cs="Tahoma"/>
          <w:b/>
          <w:color w:val="00B050"/>
          <w:sz w:val="22"/>
          <w:szCs w:val="22"/>
          <w:lang w:eastAsia="en-US"/>
        </w:rPr>
        <w:t>Delegado de obra del Contratista</w:t>
      </w:r>
    </w:p>
    <w:p w14:paraId="34729D0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Delegado de obra del contratista designado por éste antes del inicio de la ejecución del contrato deberá tener capacidad suficiente para representarlo cuando se requiera la presencia del mismo, organizar la ejecución de la obra y poner en práctica las órdenes recibidas de la Dirección de obra colaborando con dicha dirección para la resolución de los problemas que se planteen.</w:t>
      </w:r>
    </w:p>
    <w:p w14:paraId="2BFF9AF8" w14:textId="77777777" w:rsidR="005F4B5F" w:rsidRPr="00F352D3" w:rsidRDefault="005F4B5F" w:rsidP="005F4B5F">
      <w:pPr>
        <w:spacing w:after="200" w:line="276" w:lineRule="auto"/>
        <w:rPr>
          <w:rFonts w:ascii="Tahoma" w:eastAsiaTheme="minorHAnsi" w:hAnsi="Tahoma" w:cs="Tahoma"/>
          <w:color w:val="FF0000"/>
          <w:sz w:val="22"/>
          <w:szCs w:val="22"/>
          <w:lang w:eastAsia="en-US"/>
        </w:rPr>
      </w:pPr>
      <w:r w:rsidRPr="00F352D3">
        <w:rPr>
          <w:rFonts w:ascii="Tahoma" w:eastAsiaTheme="minorHAnsi" w:hAnsi="Tahoma" w:cs="Tahoma"/>
          <w:color w:val="FF0000"/>
          <w:sz w:val="22"/>
          <w:szCs w:val="22"/>
          <w:lang w:eastAsia="en-US"/>
        </w:rPr>
        <w:t>Cláusula 44.- Modificación del contrato (Artículo 242 de la LCSP 2017)</w:t>
      </w:r>
    </w:p>
    <w:p w14:paraId="07E8EC1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Serán obligatorias para el contratista las modificaciones del contrato de obras que se acuerden de conformidad con lo establecido en el </w:t>
      </w:r>
      <w:hyperlink r:id="rId79" w:anchor="I1474');" w:tooltip="enlace" w:history="1">
        <w:r w:rsidRPr="00F352D3">
          <w:rPr>
            <w:rFonts w:ascii="Tahoma" w:eastAsiaTheme="minorHAnsi" w:hAnsi="Tahoma" w:cs="Tahoma"/>
            <w:sz w:val="22"/>
            <w:szCs w:val="22"/>
            <w:lang w:eastAsia="en-US"/>
          </w:rPr>
          <w:t>artículo 206 de la LCSP 2017</w:t>
        </w:r>
      </w:hyperlink>
      <w:r w:rsidRPr="00F352D3">
        <w:rPr>
          <w:rFonts w:ascii="Tahoma" w:eastAsiaTheme="minorHAnsi" w:hAnsi="Tahoma" w:cs="Tahoma"/>
          <w:sz w:val="22"/>
          <w:szCs w:val="22"/>
          <w:lang w:eastAsia="en-US"/>
        </w:rPr>
        <w:t>. En caso de que la modificación suponga supresión o reducción de unidades de obra, el contratista no tendrá derecho a reclamar indemnización alguna.</w:t>
      </w:r>
    </w:p>
    <w:p w14:paraId="0DB7147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Cuando las modificaciones supongan la introducción de unidades de obra no previstas en el proyecto o cuyas características difieran de las fijadas en éste, y no sea necesario realizar una nueva licitación, los precios aplicables a las mismas serán fijados por la Administración, previa audiencia del contratista por plazo mínimo de </w:t>
      </w:r>
      <w:r w:rsidRPr="00F352D3">
        <w:rPr>
          <w:rFonts w:ascii="Tahoma" w:eastAsiaTheme="minorHAnsi" w:hAnsi="Tahoma" w:cs="Tahoma"/>
          <w:color w:val="00B050"/>
          <w:sz w:val="22"/>
          <w:szCs w:val="22"/>
          <w:lang w:eastAsia="en-US"/>
        </w:rPr>
        <w:t>tres días hábiles</w:t>
      </w:r>
      <w:r w:rsidRPr="00F352D3">
        <w:rPr>
          <w:rFonts w:ascii="Tahoma" w:eastAsiaTheme="minorHAnsi" w:hAnsi="Tahoma" w:cs="Tahoma"/>
          <w:sz w:val="22"/>
          <w:szCs w:val="22"/>
          <w:lang w:eastAsia="en-US"/>
        </w:rPr>
        <w:t>.</w:t>
      </w:r>
    </w:p>
    <w:p w14:paraId="4397E8D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Cuando el contratista no aceptase los precios fijados, el órgano de contratación podrá contratarlas con otro empresario en los mismos precios que hubiese fijado ejecutarlas directamente u optar por la resolución del contrato conforme al </w:t>
      </w:r>
      <w:hyperlink r:id="rId80" w:anchor="I1502');" w:tooltip="enlace" w:history="1">
        <w:r w:rsidRPr="00F352D3">
          <w:rPr>
            <w:rFonts w:ascii="Tahoma" w:eastAsiaTheme="minorHAnsi" w:hAnsi="Tahoma" w:cs="Tahoma"/>
            <w:sz w:val="22"/>
            <w:szCs w:val="22"/>
            <w:lang w:eastAsia="en-US"/>
          </w:rPr>
          <w:t>artículo 211 de la LCSP 2017</w:t>
        </w:r>
      </w:hyperlink>
      <w:r w:rsidRPr="00F352D3">
        <w:rPr>
          <w:rFonts w:ascii="Tahoma" w:eastAsiaTheme="minorHAnsi" w:hAnsi="Tahoma" w:cs="Tahoma"/>
          <w:sz w:val="22"/>
          <w:szCs w:val="22"/>
          <w:lang w:eastAsia="en-US"/>
        </w:rPr>
        <w:t>.</w:t>
      </w:r>
    </w:p>
    <w:p w14:paraId="35CCB6B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Cuando el Director facultativo de la obra considere necesaria una modificación del proyecto y se cumplan los requisitos que a tal efecto regula la Ley se tramitará el procedimiento previsto en el apartado 4 del </w:t>
      </w:r>
      <w:hyperlink r:id="rId81" w:anchor="I1744');" w:tooltip="enlace" w:history="1">
        <w:r w:rsidRPr="00F352D3">
          <w:rPr>
            <w:rFonts w:ascii="Tahoma" w:eastAsiaTheme="minorHAnsi" w:hAnsi="Tahoma" w:cs="Tahoma"/>
            <w:sz w:val="22"/>
            <w:szCs w:val="22"/>
            <w:lang w:eastAsia="en-US"/>
          </w:rPr>
          <w:t>artículo 242 de la LCSP 2017</w:t>
        </w:r>
      </w:hyperlink>
      <w:r w:rsidRPr="00F352D3">
        <w:rPr>
          <w:rFonts w:ascii="Tahoma" w:eastAsiaTheme="minorHAnsi" w:hAnsi="Tahoma" w:cs="Tahoma"/>
          <w:sz w:val="22"/>
          <w:szCs w:val="22"/>
          <w:lang w:eastAsia="en-US"/>
        </w:rPr>
        <w:t>.</w:t>
      </w:r>
    </w:p>
    <w:p w14:paraId="098A0A7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FF0000"/>
          <w:sz w:val="22"/>
          <w:szCs w:val="22"/>
          <w:lang w:eastAsia="en-US"/>
        </w:rPr>
        <w:t>No tendrán la consideración de modificaciones</w:t>
      </w:r>
      <w:r w:rsidRPr="00F352D3">
        <w:rPr>
          <w:rFonts w:ascii="Tahoma" w:eastAsiaTheme="minorHAnsi" w:hAnsi="Tahoma" w:cs="Tahoma"/>
          <w:sz w:val="22"/>
          <w:szCs w:val="22"/>
          <w:lang w:eastAsia="en-US"/>
        </w:rPr>
        <w:t>:</w:t>
      </w:r>
    </w:p>
    <w:p w14:paraId="0FC0EA8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lastRenderedPageBreak/>
        <w:t xml:space="preserve">- </w:t>
      </w:r>
      <w:r w:rsidRPr="00F352D3">
        <w:rPr>
          <w:rFonts w:ascii="Tahoma" w:eastAsiaTheme="minorHAnsi" w:hAnsi="Tahoma" w:cs="Tahoma"/>
          <w:color w:val="00B050"/>
          <w:sz w:val="22"/>
          <w:szCs w:val="22"/>
          <w:lang w:eastAsia="en-US"/>
        </w:rPr>
        <w:t>El exceso de mediciones</w:t>
      </w:r>
      <w:r w:rsidRPr="00F352D3">
        <w:rPr>
          <w:rFonts w:ascii="Tahoma" w:eastAsiaTheme="minorHAnsi" w:hAnsi="Tahoma" w:cs="Tahoma"/>
          <w:sz w:val="22"/>
          <w:szCs w:val="22"/>
          <w:lang w:eastAsia="en-US"/>
        </w:rPr>
        <w:t xml:space="preserve">, entendiendo por tal, la variación que durante la correcta ejecución de la obra se produzca exclusivamente en el número de unidades realmente ejecutadas sobre las previstas en las mediciones del proyecto, siempre que en global no representen un incremento del gasto superior al </w:t>
      </w:r>
      <w:r w:rsidRPr="00F352D3">
        <w:rPr>
          <w:rFonts w:ascii="Tahoma" w:eastAsiaTheme="minorHAnsi" w:hAnsi="Tahoma" w:cs="Tahoma"/>
          <w:color w:val="FF0000"/>
          <w:sz w:val="22"/>
          <w:szCs w:val="22"/>
          <w:lang w:eastAsia="en-US"/>
        </w:rPr>
        <w:t>10 por ciento</w:t>
      </w:r>
      <w:r w:rsidRPr="00F352D3">
        <w:rPr>
          <w:rFonts w:ascii="Tahoma" w:eastAsiaTheme="minorHAnsi" w:hAnsi="Tahoma" w:cs="Tahoma"/>
          <w:sz w:val="22"/>
          <w:szCs w:val="22"/>
          <w:lang w:eastAsia="en-US"/>
        </w:rPr>
        <w:t xml:space="preserve"> del precio del contrato inicial. Dicho exceso de mediciones será recogido en la certificación final de la obra.</w:t>
      </w:r>
    </w:p>
    <w:p w14:paraId="76F1E85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 </w:t>
      </w:r>
      <w:r w:rsidRPr="00F352D3">
        <w:rPr>
          <w:rFonts w:ascii="Tahoma" w:eastAsiaTheme="minorHAnsi" w:hAnsi="Tahoma" w:cs="Tahoma"/>
          <w:color w:val="00B050"/>
          <w:sz w:val="22"/>
          <w:szCs w:val="22"/>
          <w:lang w:eastAsia="en-US"/>
        </w:rPr>
        <w:t>La inclusión de precios nuevos</w:t>
      </w:r>
      <w:r w:rsidRPr="00F352D3">
        <w:rPr>
          <w:rFonts w:ascii="Tahoma" w:eastAsiaTheme="minorHAnsi" w:hAnsi="Tahoma" w:cs="Tahoma"/>
          <w:sz w:val="22"/>
          <w:szCs w:val="22"/>
          <w:lang w:eastAsia="en-US"/>
        </w:rPr>
        <w:t>, fijados contradictoriamente por los procedimientos establecidos en esta Ley y en sus normas de desarrollo, siempre que no supongan incremento del precio global del contrato ni afecten a unidades de obra que en su conjunto exceda del 3% del presupuesto primitivo del mismo.</w:t>
      </w:r>
    </w:p>
    <w:p w14:paraId="396B9E1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Cuando la tramitación de una modificación exija la </w:t>
      </w:r>
      <w:r w:rsidRPr="00F352D3">
        <w:rPr>
          <w:rFonts w:ascii="Tahoma" w:eastAsiaTheme="minorHAnsi" w:hAnsi="Tahoma" w:cs="Tahoma"/>
          <w:color w:val="00B050"/>
          <w:sz w:val="22"/>
          <w:szCs w:val="22"/>
          <w:lang w:eastAsia="en-US"/>
        </w:rPr>
        <w:t>suspensión temporal total</w:t>
      </w:r>
      <w:r w:rsidRPr="00F352D3">
        <w:rPr>
          <w:rFonts w:ascii="Tahoma" w:eastAsiaTheme="minorHAnsi" w:hAnsi="Tahoma" w:cs="Tahoma"/>
          <w:sz w:val="22"/>
          <w:szCs w:val="22"/>
          <w:lang w:eastAsia="en-US"/>
        </w:rPr>
        <w:t xml:space="preserve"> de la ejecución de las obras y ello ocasione graves perjuicios para el interés público podrá acordarse que continúen provisionalmente las mismas tal y como esté previsto en la propuesta técnica que elabore la dirección facultativa, siempre que el importe máximo previsto no supere el </w:t>
      </w:r>
      <w:r w:rsidRPr="00F352D3">
        <w:rPr>
          <w:rFonts w:ascii="Tahoma" w:eastAsiaTheme="minorHAnsi" w:hAnsi="Tahoma" w:cs="Tahoma"/>
          <w:color w:val="FF0000"/>
          <w:sz w:val="22"/>
          <w:szCs w:val="22"/>
          <w:lang w:eastAsia="en-US"/>
        </w:rPr>
        <w:t>10 por ciento</w:t>
      </w:r>
      <w:r w:rsidRPr="00F352D3">
        <w:rPr>
          <w:rFonts w:ascii="Tahoma" w:eastAsiaTheme="minorHAnsi" w:hAnsi="Tahoma" w:cs="Tahoma"/>
          <w:sz w:val="22"/>
          <w:szCs w:val="22"/>
          <w:lang w:eastAsia="en-US"/>
        </w:rPr>
        <w:t xml:space="preserve"> del precio inicial del contrato, IVA excluido, y exista crédito adecuado y suficiente para su financiación debiendo tramitarse el expediente conforme a lo previsto en el apartado 5 del </w:t>
      </w:r>
      <w:hyperlink r:id="rId82" w:anchor="I1744');" w:tooltip="enlace" w:history="1">
        <w:r w:rsidRPr="00F352D3">
          <w:rPr>
            <w:rFonts w:ascii="Tahoma" w:eastAsiaTheme="minorHAnsi" w:hAnsi="Tahoma" w:cs="Tahoma"/>
            <w:sz w:val="22"/>
            <w:szCs w:val="22"/>
            <w:lang w:eastAsia="en-US"/>
          </w:rPr>
          <w:t>artículo 242 de la LCSP 2017</w:t>
        </w:r>
      </w:hyperlink>
      <w:r w:rsidRPr="00F352D3">
        <w:rPr>
          <w:rFonts w:ascii="Tahoma" w:eastAsiaTheme="minorHAnsi" w:hAnsi="Tahoma" w:cs="Tahoma"/>
          <w:sz w:val="22"/>
          <w:szCs w:val="22"/>
          <w:lang w:eastAsia="en-US"/>
        </w:rPr>
        <w:t>.</w:t>
      </w:r>
    </w:p>
    <w:p w14:paraId="709C804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En el plazo de </w:t>
      </w:r>
      <w:r w:rsidRPr="00F352D3">
        <w:rPr>
          <w:rFonts w:ascii="Tahoma" w:eastAsiaTheme="minorHAnsi" w:hAnsi="Tahoma" w:cs="Tahoma"/>
          <w:color w:val="00B050"/>
          <w:sz w:val="22"/>
          <w:szCs w:val="22"/>
          <w:lang w:eastAsia="en-US"/>
        </w:rPr>
        <w:t>un mes</w:t>
      </w:r>
      <w:r w:rsidRPr="00F352D3">
        <w:rPr>
          <w:rFonts w:ascii="Tahoma" w:eastAsiaTheme="minorHAnsi" w:hAnsi="Tahoma" w:cs="Tahoma"/>
          <w:sz w:val="22"/>
          <w:szCs w:val="22"/>
          <w:lang w:eastAsia="en-US"/>
        </w:rPr>
        <w:t xml:space="preserve"> contado desde el acuerdo de autorización provisional deberá estar aprobado técnicamente el proyecto, y en el de dos meses el expediente de la modificación del contrato.</w:t>
      </w:r>
    </w:p>
    <w:p w14:paraId="3EF28FF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En lo que se refiere a las modificaciones no previstas en el presente pliego se estará a lo señalado en el </w:t>
      </w:r>
      <w:hyperlink r:id="rId83" w:anchor="I1456');" w:tooltip="enlace" w:history="1">
        <w:r w:rsidRPr="00F352D3">
          <w:rPr>
            <w:rFonts w:ascii="Tahoma" w:eastAsiaTheme="minorHAnsi" w:hAnsi="Tahoma" w:cs="Tahoma"/>
            <w:sz w:val="22"/>
            <w:szCs w:val="22"/>
            <w:lang w:eastAsia="en-US"/>
          </w:rPr>
          <w:t>artículo 205 de la LCSP 2017</w:t>
        </w:r>
      </w:hyperlink>
      <w:r w:rsidRPr="00F352D3">
        <w:rPr>
          <w:rFonts w:ascii="Tahoma" w:eastAsiaTheme="minorHAnsi" w:hAnsi="Tahoma" w:cs="Tahoma"/>
          <w:sz w:val="22"/>
          <w:szCs w:val="22"/>
          <w:lang w:eastAsia="en-US"/>
        </w:rPr>
        <w:t xml:space="preserve">. En tales casos las modificaciones acordadas por el órgano de contratación serán obligatorias para los contratistas cuando impliquen, aislada o conjuntamente, una alteración en su cuantía que no exceda del </w:t>
      </w:r>
      <w:r w:rsidRPr="00F352D3">
        <w:rPr>
          <w:rFonts w:ascii="Tahoma" w:eastAsiaTheme="minorHAnsi" w:hAnsi="Tahoma" w:cs="Tahoma"/>
          <w:color w:val="FF0000"/>
          <w:sz w:val="22"/>
          <w:szCs w:val="22"/>
          <w:lang w:eastAsia="en-US"/>
        </w:rPr>
        <w:t>20 por ciento</w:t>
      </w:r>
      <w:r w:rsidRPr="00F352D3">
        <w:rPr>
          <w:rFonts w:ascii="Tahoma" w:eastAsiaTheme="minorHAnsi" w:hAnsi="Tahoma" w:cs="Tahoma"/>
          <w:sz w:val="22"/>
          <w:szCs w:val="22"/>
          <w:lang w:eastAsia="en-US"/>
        </w:rPr>
        <w:t xml:space="preserve"> del precio inicial del contrato, IVA excluido. Cuando de acuerdo con lo dispuesto en el apartado anterior la modificación no resulte obligatoria para el contratista, la misma solo será acordada por el órgano de contratación previa conformidad por escrito del mismo, resolviéndose el contrato, en caso contrario </w:t>
      </w:r>
      <w:hyperlink r:id="rId84" w:anchor="I1474');" w:tooltip="enlace" w:history="1">
        <w:r w:rsidRPr="00F352D3">
          <w:rPr>
            <w:rFonts w:ascii="Tahoma" w:eastAsiaTheme="minorHAnsi" w:hAnsi="Tahoma" w:cs="Tahoma"/>
            <w:sz w:val="22"/>
            <w:szCs w:val="22"/>
            <w:lang w:eastAsia="en-US"/>
          </w:rPr>
          <w:t>artículo 206 de la LCSP 2017</w:t>
        </w:r>
      </w:hyperlink>
      <w:r w:rsidRPr="00F352D3">
        <w:rPr>
          <w:rFonts w:ascii="Tahoma" w:eastAsiaTheme="minorHAnsi" w:hAnsi="Tahoma" w:cs="Tahoma"/>
          <w:sz w:val="22"/>
          <w:szCs w:val="22"/>
          <w:lang w:eastAsia="en-US"/>
        </w:rPr>
        <w:t xml:space="preserve">. </w:t>
      </w:r>
    </w:p>
    <w:p w14:paraId="7A89E4F2"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Los supuestos que eventualmente podrían justificar una modificación no prevista, siempre y cuando esta cumpla todos los requisitos recogidos en el apartado primero de </w:t>
      </w:r>
      <w:hyperlink r:id="rId85" w:anchor="I1456');" w:tooltip="enlace" w:history="1">
        <w:r w:rsidRPr="00F352D3">
          <w:rPr>
            <w:rFonts w:ascii="Tahoma" w:eastAsiaTheme="minorHAnsi" w:hAnsi="Tahoma" w:cs="Tahoma"/>
            <w:sz w:val="22"/>
            <w:szCs w:val="22"/>
            <w:lang w:eastAsia="en-US"/>
          </w:rPr>
          <w:t>artículo 205 de la LCSP 2017</w:t>
        </w:r>
      </w:hyperlink>
      <w:r w:rsidRPr="00F352D3">
        <w:rPr>
          <w:rFonts w:ascii="Tahoma" w:eastAsiaTheme="minorHAnsi" w:hAnsi="Tahoma" w:cs="Tahoma"/>
          <w:sz w:val="22"/>
          <w:szCs w:val="22"/>
          <w:lang w:eastAsia="en-US"/>
        </w:rPr>
        <w:t>, son los siguientes:</w:t>
      </w:r>
    </w:p>
    <w:p w14:paraId="17211F8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Cuando deviniera necesario añadir obras, adicionales a los inicialmente contratados, siempre y cuando se den los dos requisitos siguientes:</w:t>
      </w:r>
    </w:p>
    <w:p w14:paraId="6CC39BE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Cuando la necesidad de modificar un contrato vigente se derive de circunstancias sobrevenidas y que fueran imprevisibles en el momento en que tuvo lugar la licitación del contrato, siempre y cuando se cumplan las tres condiciones siguientes:</w:t>
      </w:r>
    </w:p>
    <w:p w14:paraId="27415559" w14:textId="77777777" w:rsidR="005F4B5F" w:rsidRPr="00F352D3" w:rsidRDefault="005F4B5F" w:rsidP="005F4B5F">
      <w:pPr>
        <w:spacing w:after="200" w:line="276" w:lineRule="auto"/>
        <w:rPr>
          <w:rFonts w:ascii="Tahoma" w:eastAsiaTheme="minorHAnsi" w:hAnsi="Tahoma" w:cs="Tahoma"/>
          <w:sz w:val="22"/>
          <w:szCs w:val="22"/>
          <w:lang w:eastAsia="en-US"/>
        </w:rPr>
      </w:pPr>
      <w:r w:rsidRPr="00F352D3">
        <w:rPr>
          <w:rFonts w:ascii="Tahoma" w:eastAsiaTheme="minorHAnsi" w:hAnsi="Tahoma" w:cs="Tahoma"/>
          <w:sz w:val="22"/>
          <w:szCs w:val="22"/>
          <w:lang w:eastAsia="en-US"/>
        </w:rPr>
        <w:t>Cláusula 45.- Suspensión del contrato</w:t>
      </w:r>
    </w:p>
    <w:p w14:paraId="1073FC32" w14:textId="2AF82C3D"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Si la Entidad Local acuerda la suspensión del contrato o la misma tiene lugar a instancia del contratista por la demora en </w:t>
      </w:r>
      <w:r w:rsidRPr="00F352D3">
        <w:rPr>
          <w:rFonts w:ascii="Tahoma" w:eastAsiaTheme="minorHAnsi" w:hAnsi="Tahoma" w:cs="Tahoma"/>
          <w:color w:val="00B050"/>
          <w:sz w:val="22"/>
          <w:szCs w:val="22"/>
          <w:lang w:eastAsia="en-US"/>
        </w:rPr>
        <w:t>el pago superior a cuatro meses</w:t>
      </w:r>
      <w:r w:rsidR="003543E6">
        <w:rPr>
          <w:rFonts w:ascii="Tahoma" w:eastAsiaTheme="minorHAnsi" w:hAnsi="Tahoma" w:cs="Tahoma"/>
          <w:color w:val="00B050"/>
          <w:sz w:val="22"/>
          <w:szCs w:val="22"/>
          <w:lang w:eastAsia="en-US"/>
        </w:rPr>
        <w:t xml:space="preserve"> </w:t>
      </w:r>
      <w:hyperlink r:id="rId86" w:anchor="I1419');" w:tooltip="enlace" w:history="1">
        <w:r w:rsidRPr="00F352D3">
          <w:rPr>
            <w:rFonts w:ascii="Tahoma" w:eastAsiaTheme="minorHAnsi" w:hAnsi="Tahoma" w:cs="Tahoma"/>
            <w:sz w:val="22"/>
            <w:szCs w:val="22"/>
            <w:lang w:eastAsia="en-US"/>
          </w:rPr>
          <w:t xml:space="preserve">artículo </w:t>
        </w:r>
        <w:r w:rsidRPr="00F352D3">
          <w:rPr>
            <w:rFonts w:ascii="Tahoma" w:eastAsiaTheme="minorHAnsi" w:hAnsi="Tahoma" w:cs="Tahoma"/>
            <w:sz w:val="22"/>
            <w:szCs w:val="22"/>
            <w:lang w:eastAsia="en-US"/>
          </w:rPr>
          <w:lastRenderedPageBreak/>
          <w:t>198.5 de la LCSP 2017</w:t>
        </w:r>
      </w:hyperlink>
      <w:r w:rsidRPr="00F352D3">
        <w:rPr>
          <w:rFonts w:ascii="Tahoma" w:eastAsiaTheme="minorHAnsi" w:hAnsi="Tahoma" w:cs="Tahoma"/>
          <w:sz w:val="22"/>
          <w:szCs w:val="22"/>
          <w:lang w:eastAsia="en-US"/>
        </w:rPr>
        <w:t>, se extenderá un acta, de oficio o a solicitud del contratista, en la que se consignarán las circunstancias que la han motivado y la situación de hecho en la ejecución de aquél.</w:t>
      </w:r>
    </w:p>
    <w:p w14:paraId="4C9EBAD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Acordada la suspensión, la Entidad Local abonará al contratista los daños y perjuicios efectivamente sufridos por este con sujeción a los siguientes conceptos:</w:t>
      </w:r>
    </w:p>
    <w:p w14:paraId="0073B30A"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color w:val="00B050"/>
          <w:sz w:val="22"/>
          <w:szCs w:val="22"/>
          <w:lang w:eastAsia="en-US"/>
        </w:rPr>
        <w:t>1. Gastos por mantenimiento de la garantía definitiva.</w:t>
      </w:r>
    </w:p>
    <w:p w14:paraId="71A838AF"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color w:val="00B050"/>
          <w:sz w:val="22"/>
          <w:szCs w:val="22"/>
          <w:lang w:eastAsia="en-US"/>
        </w:rPr>
        <w:t>2. Indemnizaciones por extinción o suspensión de los contratos de trabajo que el contratista tuviera concertados para la ejecución del contrato al tiempo de iniciarse la suspensión.</w:t>
      </w:r>
    </w:p>
    <w:p w14:paraId="5D93784D" w14:textId="77777777" w:rsidR="005F4B5F" w:rsidRPr="00F352D3" w:rsidRDefault="005F4B5F" w:rsidP="005F4B5F">
      <w:pPr>
        <w:spacing w:after="200" w:line="276" w:lineRule="auto"/>
        <w:rPr>
          <w:rFonts w:ascii="Tahoma" w:eastAsiaTheme="minorHAnsi" w:hAnsi="Tahoma" w:cs="Tahoma"/>
          <w:color w:val="00B050"/>
          <w:sz w:val="22"/>
          <w:szCs w:val="22"/>
          <w:lang w:eastAsia="en-US"/>
        </w:rPr>
      </w:pPr>
      <w:r w:rsidRPr="00F352D3">
        <w:rPr>
          <w:rFonts w:ascii="Tahoma" w:eastAsiaTheme="minorHAnsi" w:hAnsi="Tahoma" w:cs="Tahoma"/>
          <w:color w:val="00B050"/>
          <w:sz w:val="22"/>
          <w:szCs w:val="22"/>
          <w:lang w:eastAsia="en-US"/>
        </w:rPr>
        <w:t>3. Gastos salariales del personal que necesariamente deba quedar adscrito al contrato durante el período de suspensión.</w:t>
      </w:r>
    </w:p>
    <w:p w14:paraId="7D7B088C"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color w:val="00B050"/>
          <w:sz w:val="22"/>
          <w:szCs w:val="22"/>
          <w:lang w:eastAsia="en-US"/>
        </w:rPr>
        <w:t>4. Alquileres o costes de mantenimiento de maquinaria, instalaciones y equipos siempre que el contratista acredite que estos medios no pudieron ser empleados para otros fines distintos de la ejecución del contrato suspendido.</w:t>
      </w:r>
    </w:p>
    <w:p w14:paraId="7403D63F"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color w:val="00B050"/>
          <w:sz w:val="22"/>
          <w:szCs w:val="22"/>
          <w:lang w:eastAsia="en-US"/>
        </w:rPr>
        <w:t xml:space="preserve">5. Un </w:t>
      </w:r>
      <w:r w:rsidRPr="00F352D3">
        <w:rPr>
          <w:rFonts w:ascii="Tahoma" w:eastAsiaTheme="minorHAnsi" w:hAnsi="Tahoma" w:cs="Tahoma"/>
          <w:color w:val="FF0000"/>
          <w:sz w:val="22"/>
          <w:szCs w:val="22"/>
          <w:lang w:eastAsia="en-US"/>
        </w:rPr>
        <w:t>3 por 100</w:t>
      </w:r>
      <w:r w:rsidRPr="00F352D3">
        <w:rPr>
          <w:rFonts w:ascii="Tahoma" w:eastAsiaTheme="minorHAnsi" w:hAnsi="Tahoma" w:cs="Tahoma"/>
          <w:color w:val="00B050"/>
          <w:sz w:val="22"/>
          <w:szCs w:val="22"/>
          <w:lang w:eastAsia="en-US"/>
        </w:rPr>
        <w:t xml:space="preserve"> del precio de las prestaciones que debiera haber ejecutado el contratista durante el período de suspensión, conforme a lo previsto en el programa de trabajo o en el propio contrato.</w:t>
      </w:r>
    </w:p>
    <w:p w14:paraId="523F2499"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color w:val="00B050"/>
          <w:sz w:val="22"/>
          <w:szCs w:val="22"/>
          <w:lang w:eastAsia="en-US"/>
        </w:rPr>
        <w:t xml:space="preserve">6. Los gastos correspondientes a las pólizas de seguro suscritas por el contratista previstas en el </w:t>
      </w:r>
      <w:r w:rsidRPr="00F352D3">
        <w:rPr>
          <w:rFonts w:ascii="Tahoma" w:eastAsiaTheme="minorHAnsi" w:hAnsi="Tahoma" w:cs="Tahoma"/>
          <w:color w:val="FF0000"/>
          <w:sz w:val="22"/>
          <w:szCs w:val="22"/>
          <w:lang w:eastAsia="en-US"/>
        </w:rPr>
        <w:t>apartado 21 del Cuadro de Características del Contrato</w:t>
      </w:r>
      <w:r w:rsidRPr="00F352D3">
        <w:rPr>
          <w:rFonts w:ascii="Tahoma" w:eastAsiaTheme="minorHAnsi" w:hAnsi="Tahoma" w:cs="Tahoma"/>
          <w:color w:val="00B050"/>
          <w:sz w:val="22"/>
          <w:szCs w:val="22"/>
          <w:lang w:eastAsia="en-US"/>
        </w:rPr>
        <w:t xml:space="preserve"> vinculados al objeto del contrato.</w:t>
      </w:r>
    </w:p>
    <w:p w14:paraId="5B6BE93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Solo se indemnizarán los períodos de suspensión que estuvieran documentados en la correspondiente acta. El contratista podrá pedir que se extienda dicha acta. Si la Administración no responde a esta solicitud se entenderá, salvo prueba en contrario, que se ha iniciado la suspensión en la fecha señalada por el contratista en su solicitud.</w:t>
      </w:r>
    </w:p>
    <w:p w14:paraId="55DE781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El derecho a reclamar prescribe en cuatro años, contados desde que el contratista reciba la orden de reanudar la ejecución del contrato.</w:t>
      </w:r>
    </w:p>
    <w:p w14:paraId="52B2AC8D" w14:textId="77777777" w:rsidR="005F4B5F" w:rsidRPr="00F352D3" w:rsidRDefault="005F4B5F" w:rsidP="005F4B5F">
      <w:pPr>
        <w:spacing w:after="200" w:line="276" w:lineRule="auto"/>
        <w:jc w:val="center"/>
        <w:rPr>
          <w:rFonts w:ascii="Tahoma" w:eastAsiaTheme="minorHAnsi" w:hAnsi="Tahoma" w:cs="Tahoma"/>
          <w:b/>
          <w:color w:val="00B0F0"/>
          <w:sz w:val="22"/>
          <w:szCs w:val="22"/>
          <w:lang w:eastAsia="en-US"/>
        </w:rPr>
      </w:pPr>
      <w:r w:rsidRPr="00F352D3">
        <w:rPr>
          <w:rFonts w:ascii="Tahoma" w:eastAsiaTheme="minorHAnsi" w:hAnsi="Tahoma" w:cs="Tahoma"/>
          <w:b/>
          <w:color w:val="00B0F0"/>
          <w:sz w:val="22"/>
          <w:szCs w:val="22"/>
          <w:lang w:eastAsia="en-US"/>
        </w:rPr>
        <w:t>EXTINCIÓN DEL CONTRATO</w:t>
      </w:r>
    </w:p>
    <w:p w14:paraId="2B928A05"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46.- Cumplimiento del contrato y recepción de las obras</w:t>
      </w:r>
    </w:p>
    <w:p w14:paraId="2FC5B1C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El contrato se entenderá cumplido</w:t>
      </w:r>
      <w:r w:rsidRPr="00F352D3">
        <w:rPr>
          <w:rFonts w:ascii="Tahoma" w:eastAsiaTheme="minorHAnsi" w:hAnsi="Tahoma" w:cs="Tahoma"/>
          <w:sz w:val="22"/>
          <w:szCs w:val="22"/>
          <w:lang w:eastAsia="en-US"/>
        </w:rPr>
        <w:t xml:space="preserve"> por el contratista cuando este haya realizado, de acuerdo con los términos del mismo y a satisfacción de la Entidad Local, la totalidad de la prestación. </w:t>
      </w:r>
    </w:p>
    <w:p w14:paraId="4E417EC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A la recepción de las obras a su terminación</w:t>
      </w:r>
      <w:r w:rsidRPr="00F352D3">
        <w:rPr>
          <w:rFonts w:ascii="Tahoma" w:eastAsiaTheme="minorHAnsi" w:hAnsi="Tahoma" w:cs="Tahoma"/>
          <w:sz w:val="22"/>
          <w:szCs w:val="22"/>
          <w:lang w:eastAsia="en-US"/>
        </w:rPr>
        <w:t xml:space="preserve"> y a los efectos establecidos en el </w:t>
      </w:r>
      <w:hyperlink r:id="rId87" w:anchor="I1762');" w:tooltip="enlace" w:history="1">
        <w:r w:rsidRPr="00F352D3">
          <w:rPr>
            <w:rFonts w:ascii="Tahoma" w:eastAsiaTheme="minorHAnsi" w:hAnsi="Tahoma" w:cs="Tahoma"/>
            <w:sz w:val="22"/>
            <w:szCs w:val="22"/>
            <w:lang w:eastAsia="en-US"/>
          </w:rPr>
          <w:t>artículo 243 de la LCSP 2017</w:t>
        </w:r>
      </w:hyperlink>
      <w:r w:rsidRPr="00F352D3">
        <w:rPr>
          <w:rFonts w:ascii="Tahoma" w:eastAsiaTheme="minorHAnsi" w:hAnsi="Tahoma" w:cs="Tahoma"/>
          <w:sz w:val="22"/>
          <w:szCs w:val="22"/>
          <w:lang w:eastAsia="en-US"/>
        </w:rPr>
        <w:t>, concurrirá un facultativo designado por la Entidad Local, el facultativo encargado de la dirección de las obras y el contratista asistido, si lo estima oportuno, de su facultativo.</w:t>
      </w:r>
    </w:p>
    <w:p w14:paraId="41A9523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lastRenderedPageBreak/>
        <w:t xml:space="preserve">Si se encuentran las obras en buen estado </w:t>
      </w:r>
      <w:r w:rsidRPr="00F352D3">
        <w:rPr>
          <w:rFonts w:ascii="Tahoma" w:eastAsiaTheme="minorHAnsi" w:hAnsi="Tahoma" w:cs="Tahoma"/>
          <w:sz w:val="22"/>
          <w:szCs w:val="22"/>
          <w:lang w:eastAsia="en-US"/>
        </w:rPr>
        <w:t>y con arreglo a las prescripciones previstas, el técnico designado por la Administración contratante y representante de ésta, las dará por recibidas, levantándose la correspondiente acta y comenzando entonces el plazo de garantía.</w:t>
      </w:r>
    </w:p>
    <w:p w14:paraId="17C3CB1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Cuando las obras no se hallen en estado de ser recibidas</w:t>
      </w:r>
      <w:r w:rsidRPr="00F352D3">
        <w:rPr>
          <w:rFonts w:ascii="Tahoma" w:eastAsiaTheme="minorHAnsi" w:hAnsi="Tahoma" w:cs="Tahoma"/>
          <w:sz w:val="22"/>
          <w:szCs w:val="22"/>
          <w:lang w:eastAsia="en-US"/>
        </w:rPr>
        <w:t xml:space="preserve"> se hará constar así en el acta y el Director de las mismas señalará los defectos observados y detallará las instrucciones precisas fijando un plazo para remediar aquellos. Si transcurrido dicho plazo el contratista no lo hubiere efectuado, podrá concedérsele otro nuevo plazo improrrogable o declarar resuelto el contrato.</w:t>
      </w:r>
    </w:p>
    <w:p w14:paraId="4D540E2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Podrán ser objeto de recepción parcial</w:t>
      </w:r>
      <w:r w:rsidRPr="00F352D3">
        <w:rPr>
          <w:rFonts w:ascii="Tahoma" w:eastAsiaTheme="minorHAnsi" w:hAnsi="Tahoma" w:cs="Tahoma"/>
          <w:sz w:val="22"/>
          <w:szCs w:val="22"/>
          <w:lang w:eastAsia="en-US"/>
        </w:rPr>
        <w:t xml:space="preserve"> aquellas partes de obra susceptibles de ser ejecutadas por fases que puedan ser entregadas al uso público, según lo establecido en el contrato.</w:t>
      </w:r>
    </w:p>
    <w:p w14:paraId="2CAF8FE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color w:val="00B050"/>
          <w:sz w:val="22"/>
          <w:szCs w:val="22"/>
          <w:lang w:eastAsia="en-US"/>
        </w:rPr>
        <w:t>Siempre que por razones excepcionales</w:t>
      </w:r>
      <w:r w:rsidRPr="00F352D3">
        <w:rPr>
          <w:rFonts w:ascii="Tahoma" w:eastAsiaTheme="minorHAnsi" w:hAnsi="Tahoma" w:cs="Tahoma"/>
          <w:sz w:val="22"/>
          <w:szCs w:val="22"/>
          <w:lang w:eastAsia="en-US"/>
        </w:rPr>
        <w:t xml:space="preserve"> de interés público debidamente motivadas en el expediente el órgano de contratación acuerde la ocupación efectiva de las obras o su puesta en servicio para el uso público, aun sin el cumplimiento del acto formal de recepción, desde que concurran dichas circunstancias se producirán los efectos y consecuencias propios del acto de recepción de las obras y en los términos en que reglamentariamente se establezcan (</w:t>
      </w:r>
      <w:hyperlink r:id="rId88" w:anchor="I1762');" w:tooltip="enlace" w:history="1">
        <w:r w:rsidRPr="00F352D3">
          <w:rPr>
            <w:rFonts w:ascii="Tahoma" w:eastAsiaTheme="minorHAnsi" w:hAnsi="Tahoma" w:cs="Tahoma"/>
            <w:sz w:val="22"/>
            <w:szCs w:val="22"/>
            <w:lang w:eastAsia="en-US"/>
          </w:rPr>
          <w:t>artículo 243 de la LCSP 2017</w:t>
        </w:r>
      </w:hyperlink>
      <w:r w:rsidRPr="00F352D3">
        <w:rPr>
          <w:rFonts w:ascii="Tahoma" w:eastAsiaTheme="minorHAnsi" w:hAnsi="Tahoma" w:cs="Tahoma"/>
          <w:sz w:val="22"/>
          <w:szCs w:val="22"/>
          <w:lang w:eastAsia="en-US"/>
        </w:rPr>
        <w:t xml:space="preserve">). Dentro del plazo de </w:t>
      </w:r>
      <w:r w:rsidRPr="00F352D3">
        <w:rPr>
          <w:rFonts w:ascii="Tahoma" w:eastAsiaTheme="minorHAnsi" w:hAnsi="Tahoma" w:cs="Tahoma"/>
          <w:color w:val="00B050"/>
          <w:sz w:val="22"/>
          <w:szCs w:val="22"/>
          <w:lang w:eastAsia="en-US"/>
        </w:rPr>
        <w:t>tres meses</w:t>
      </w:r>
      <w:r w:rsidRPr="00F352D3">
        <w:rPr>
          <w:rFonts w:ascii="Tahoma" w:eastAsiaTheme="minorHAnsi" w:hAnsi="Tahoma" w:cs="Tahoma"/>
          <w:sz w:val="22"/>
          <w:szCs w:val="22"/>
          <w:lang w:eastAsia="en-US"/>
        </w:rPr>
        <w:t xml:space="preserve"> contados a partir de la recepción, el órgano de contratación deberá aprobar la certificación final de las obras ejecutadas, que será abonada al contratista a cuenta de la liquidación del contrato en el plazo previsto en esta Ley.</w:t>
      </w:r>
    </w:p>
    <w:p w14:paraId="662FC743"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47.- Plazo de garantía</w:t>
      </w:r>
    </w:p>
    <w:p w14:paraId="51FC405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plazo de garantía no podrá ser inferior a </w:t>
      </w:r>
      <w:r w:rsidRPr="00F352D3">
        <w:rPr>
          <w:rFonts w:ascii="Tahoma" w:eastAsiaTheme="minorHAnsi" w:hAnsi="Tahoma" w:cs="Tahoma"/>
          <w:color w:val="00B050"/>
          <w:sz w:val="22"/>
          <w:szCs w:val="22"/>
          <w:lang w:eastAsia="en-US"/>
        </w:rPr>
        <w:t>un año</w:t>
      </w:r>
      <w:r w:rsidRPr="00F352D3">
        <w:rPr>
          <w:rFonts w:ascii="Tahoma" w:eastAsiaTheme="minorHAnsi" w:hAnsi="Tahoma" w:cs="Tahoma"/>
          <w:sz w:val="22"/>
          <w:szCs w:val="22"/>
          <w:lang w:eastAsia="en-US"/>
        </w:rPr>
        <w:t xml:space="preserve"> salvo casos especiales, siendo en su caso susceptible de ser mejorado por el adjudicatario.</w:t>
      </w:r>
    </w:p>
    <w:p w14:paraId="553D0BC4"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48.- Devolución de la garantía y liquidación de las obras</w:t>
      </w:r>
    </w:p>
    <w:p w14:paraId="21F946F4"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Antes del plazo de </w:t>
      </w:r>
      <w:r w:rsidRPr="00F352D3">
        <w:rPr>
          <w:rFonts w:ascii="Tahoma" w:eastAsiaTheme="minorHAnsi" w:hAnsi="Tahoma" w:cs="Tahoma"/>
          <w:color w:val="00B050"/>
          <w:sz w:val="22"/>
          <w:szCs w:val="22"/>
          <w:lang w:eastAsia="en-US"/>
        </w:rPr>
        <w:t>quince días</w:t>
      </w:r>
      <w:r w:rsidRPr="00F352D3">
        <w:rPr>
          <w:rFonts w:ascii="Tahoma" w:eastAsiaTheme="minorHAnsi" w:hAnsi="Tahoma" w:cs="Tahoma"/>
          <w:sz w:val="22"/>
          <w:szCs w:val="22"/>
          <w:lang w:eastAsia="en-US"/>
        </w:rPr>
        <w:t xml:space="preserve"> anteriores al cumplimiento del plazo de garantía, el director facultativo de la obra, de oficio o a instancia del contratista, redactará un informe sobre el estado de las obras. Si este fuera favorable, el contratista quedará exonerado de toda responsabilidad, procediéndose a la devolución o cancelación de la garantía, a la liquidación del contrato y, en su caso, al pago de las obligaciones pendientes que deberá efectuarse en el plazo de sesenta días.</w:t>
      </w:r>
    </w:p>
    <w:p w14:paraId="7323D5EE"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el caso de que el informe no fuera favorable y los defectos observados se debiesen a deficiencias en la ejecución de la obra y no al uso de lo construido, durante el plazo de garantía, el director facultativo procederá a dictar las oportunas instrucciones al contratista para la debida reparación de lo construido, concediéndole un plazo para ello durante el cual continuará encargado de la conservación de las obras, sin derecho a percibir cantidad alguna por ampliación del plazo de garantía.</w:t>
      </w:r>
    </w:p>
    <w:p w14:paraId="40D2FCC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garantía no será devuelta o cancelada hasta que se haya producido el vencimiento del plazo de garantía y cumplido satisfactoriamente el contrato de que se trate, o hasta que se declare la resolución de este sin culpa del contratista.</w:t>
      </w:r>
    </w:p>
    <w:p w14:paraId="7937442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lastRenderedPageBreak/>
        <w:t>Aprobada la liquidación del contrato y transcurrido el plazo de garantía, si no resultaren responsabilidades se devolverá la garantía constituida o se cancelará el aval o seguro de caución.</w:t>
      </w:r>
    </w:p>
    <w:p w14:paraId="583EE71B"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El acuerdo de devolución deberá adoptarse y notificarse al interesado en el plazo de </w:t>
      </w:r>
      <w:r w:rsidRPr="00F352D3">
        <w:rPr>
          <w:rFonts w:ascii="Tahoma" w:eastAsiaTheme="minorHAnsi" w:hAnsi="Tahoma" w:cs="Tahoma"/>
          <w:color w:val="00B050"/>
          <w:sz w:val="22"/>
          <w:szCs w:val="22"/>
          <w:lang w:eastAsia="en-US"/>
        </w:rPr>
        <w:t>dos meses desde la finalización del plazo de garantía</w:t>
      </w:r>
      <w:r w:rsidRPr="00F352D3">
        <w:rPr>
          <w:rFonts w:ascii="Tahoma" w:eastAsiaTheme="minorHAnsi" w:hAnsi="Tahoma" w:cs="Tahoma"/>
          <w:sz w:val="22"/>
          <w:szCs w:val="22"/>
          <w:lang w:eastAsia="en-US"/>
        </w:rPr>
        <w:t>. Transcurrido el mismo, la Administración deberá abonar al contratista la cantidad adeudada incrementada con el interés legal del dinero correspondiente al período transcurrido desde el vencimiento del citado plazo hasta la fecha de la devolución de la garantía, si esta no se hubiera hecho efectiva por causa imputable a la Administración.</w:t>
      </w:r>
    </w:p>
    <w:p w14:paraId="0034EDB9"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los casos de cesión de contratos no se procederá a la devolución o cancelación de la garantía prestada por el cedente hasta que se halle formalmente constituida la del cesionario.</w:t>
      </w:r>
    </w:p>
    <w:p w14:paraId="09908FCD"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Transcurrido </w:t>
      </w:r>
      <w:r w:rsidRPr="00F352D3">
        <w:rPr>
          <w:rFonts w:ascii="Tahoma" w:eastAsiaTheme="minorHAnsi" w:hAnsi="Tahoma" w:cs="Tahoma"/>
          <w:color w:val="00B050"/>
          <w:sz w:val="22"/>
          <w:szCs w:val="22"/>
          <w:lang w:eastAsia="en-US"/>
        </w:rPr>
        <w:t>un año</w:t>
      </w:r>
      <w:r w:rsidRPr="00F352D3">
        <w:rPr>
          <w:rFonts w:ascii="Tahoma" w:eastAsiaTheme="minorHAnsi" w:hAnsi="Tahoma" w:cs="Tahoma"/>
          <w:sz w:val="22"/>
          <w:szCs w:val="22"/>
          <w:lang w:eastAsia="en-US"/>
        </w:rPr>
        <w:t xml:space="preserve"> desde la fecha de terminación del contrato, y vencido el plazo de garantía, sin que la recepción formal y la liquidación hubiesen tenido lugar por causas no imputables al contratista, se procederá, sin más demora, a la devolución o cancelación de las garantías una vez depuradas las responsabilidades a que está afecta la garantía conforme al </w:t>
      </w:r>
      <w:hyperlink r:id="rId89" w:anchor="I808');" w:tooltip="enlace" w:history="1">
        <w:r w:rsidRPr="00F352D3">
          <w:rPr>
            <w:rFonts w:ascii="Tahoma" w:eastAsiaTheme="minorHAnsi" w:hAnsi="Tahoma" w:cs="Tahoma"/>
            <w:sz w:val="22"/>
            <w:szCs w:val="22"/>
            <w:lang w:eastAsia="en-US"/>
          </w:rPr>
          <w:t>artículo 110 de la LCSP 2017</w:t>
        </w:r>
      </w:hyperlink>
      <w:r w:rsidRPr="00F352D3">
        <w:rPr>
          <w:rFonts w:ascii="Tahoma" w:eastAsiaTheme="minorHAnsi" w:hAnsi="Tahoma" w:cs="Tahoma"/>
          <w:sz w:val="22"/>
          <w:szCs w:val="22"/>
          <w:lang w:eastAsia="en-US"/>
        </w:rPr>
        <w:t>.</w:t>
      </w:r>
    </w:p>
    <w:p w14:paraId="09E96ACB"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49.- Responsabilidad por vicios ocultos</w:t>
      </w:r>
    </w:p>
    <w:p w14:paraId="5AB29BE4"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sz w:val="22"/>
          <w:szCs w:val="22"/>
          <w:lang w:eastAsia="en-US"/>
        </w:rPr>
        <w:t xml:space="preserve">Si la obra se arruina o sufre deterioros graves incompatibles con su función con posterioridad a la expiración del plazo de garantía por vicios ocultos de la construcción, debido a incumplimiento del contrato por parte del contratista, responderá este de los daños y perjuicios que se produzcan o se manifiesten durante un plazo de </w:t>
      </w:r>
      <w:r w:rsidRPr="00F352D3">
        <w:rPr>
          <w:rFonts w:ascii="Tahoma" w:eastAsiaTheme="minorHAnsi" w:hAnsi="Tahoma" w:cs="Tahoma"/>
          <w:color w:val="00B050"/>
          <w:sz w:val="22"/>
          <w:szCs w:val="22"/>
          <w:lang w:eastAsia="en-US"/>
        </w:rPr>
        <w:t>quince años a contar desde la recepción.</w:t>
      </w:r>
    </w:p>
    <w:p w14:paraId="1113669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Asimismo, el contratista responderá durante dicho plazo de los daños materiales causados en la obra por vicios o defectos que afecten a la cimentación, los soportes, las vigas, los forjados, los muros de carga u otros elementos estructurales, y que comprometan directamente la resistencia mecánica y la estabilidad de la construcción, contados desde la fecha de recepción de la obra sin reservas o desde la subsanación de éstas.</w:t>
      </w:r>
    </w:p>
    <w:p w14:paraId="30530C2A"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Las acciones para exigir la responsabilidad por daños materiales dimanantes de los vicios o defectos, </w:t>
      </w:r>
      <w:r w:rsidRPr="00F352D3">
        <w:rPr>
          <w:rFonts w:ascii="Tahoma" w:eastAsiaTheme="minorHAnsi" w:hAnsi="Tahoma" w:cs="Tahoma"/>
          <w:color w:val="00B050"/>
          <w:sz w:val="22"/>
          <w:szCs w:val="22"/>
          <w:lang w:eastAsia="en-US"/>
        </w:rPr>
        <w:t>prescribirán en el plazo de dos años</w:t>
      </w:r>
      <w:r w:rsidRPr="00F352D3">
        <w:rPr>
          <w:rFonts w:ascii="Tahoma" w:eastAsiaTheme="minorHAnsi" w:hAnsi="Tahoma" w:cs="Tahoma"/>
          <w:sz w:val="22"/>
          <w:szCs w:val="22"/>
          <w:lang w:eastAsia="en-US"/>
        </w:rPr>
        <w:t xml:space="preserve"> a contar desde que se produzcan o se manifiesten dichos daños, sin perjuicio de las acciones que puedan subsistir para exigir responsabilidades por incumplimiento contractual.</w:t>
      </w:r>
    </w:p>
    <w:p w14:paraId="7D067D4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Transcurrido el plazo de quince años, sin que se haya manifestado ningún daño o perjuicio, quedará totalmente extinguida cualquier responsabilidad del contratista.</w:t>
      </w:r>
    </w:p>
    <w:p w14:paraId="7D00D459"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50.- Resolución del contrato</w:t>
      </w:r>
    </w:p>
    <w:p w14:paraId="23DF462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Son causas de resolución del contrato de obras, además de las generales de la Ley, las siguientes:</w:t>
      </w:r>
    </w:p>
    <w:p w14:paraId="47932EB1"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color w:val="00B050"/>
          <w:sz w:val="22"/>
          <w:szCs w:val="22"/>
          <w:lang w:eastAsia="en-US"/>
        </w:rPr>
        <w:lastRenderedPageBreak/>
        <w:t>a) La demora injustificada en la comprobación del replanteo.</w:t>
      </w:r>
    </w:p>
    <w:p w14:paraId="7473250C"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color w:val="00B050"/>
          <w:sz w:val="22"/>
          <w:szCs w:val="22"/>
          <w:lang w:eastAsia="en-US"/>
        </w:rPr>
        <w:t>b) La suspensión de la iniciación de las obras por plazo superior a cuatro meses</w:t>
      </w:r>
    </w:p>
    <w:p w14:paraId="00613B05"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color w:val="00B050"/>
          <w:sz w:val="22"/>
          <w:szCs w:val="22"/>
          <w:lang w:eastAsia="en-US"/>
        </w:rPr>
        <w:t>c) La suspensión de las obras por plazo superior a ocho meses por parte de la Administración.</w:t>
      </w:r>
    </w:p>
    <w:p w14:paraId="2D21D375" w14:textId="77777777" w:rsidR="005F4B5F" w:rsidRPr="00F352D3" w:rsidRDefault="005F4B5F" w:rsidP="005F4B5F">
      <w:pPr>
        <w:spacing w:after="200" w:line="276" w:lineRule="auto"/>
        <w:jc w:val="both"/>
        <w:rPr>
          <w:rFonts w:ascii="Tahoma" w:eastAsiaTheme="minorHAnsi" w:hAnsi="Tahoma" w:cs="Tahoma"/>
          <w:color w:val="00B050"/>
          <w:sz w:val="22"/>
          <w:szCs w:val="22"/>
          <w:lang w:eastAsia="en-US"/>
        </w:rPr>
      </w:pPr>
      <w:r w:rsidRPr="00F352D3">
        <w:rPr>
          <w:rFonts w:ascii="Tahoma" w:eastAsiaTheme="minorHAnsi" w:hAnsi="Tahoma" w:cs="Tahoma"/>
          <w:color w:val="00B050"/>
          <w:sz w:val="22"/>
          <w:szCs w:val="22"/>
          <w:lang w:eastAsia="en-US"/>
        </w:rPr>
        <w:t>d) El desistimiento.</w:t>
      </w:r>
    </w:p>
    <w:p w14:paraId="05BA028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resolución del contrato dará lugar a la comprobación, medición y liquidación de las obras realizadas con arreglo al proyecto, fijando los saldos pertinentes a favor o en contra del contratista. Será necesaria la citación de éste, en el domicilio que figure en el expediente de contratación, para su asistencia al acto de comprobación y medición.</w:t>
      </w:r>
    </w:p>
    <w:p w14:paraId="4BFFC0C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Si se demorase injustificadamente la comprobación del replanteo, dando lugar a la resolución del contrato, el contratista solo tendrá derecho por todos los conceptos a una indemnización equivalente al </w:t>
      </w:r>
      <w:r w:rsidRPr="00F352D3">
        <w:rPr>
          <w:rFonts w:ascii="Tahoma" w:eastAsiaTheme="minorHAnsi" w:hAnsi="Tahoma" w:cs="Tahoma"/>
          <w:color w:val="FF0000"/>
          <w:sz w:val="22"/>
          <w:szCs w:val="22"/>
          <w:lang w:eastAsia="en-US"/>
        </w:rPr>
        <w:t>2 por cien del precio</w:t>
      </w:r>
      <w:r w:rsidRPr="00F352D3">
        <w:rPr>
          <w:rFonts w:ascii="Tahoma" w:eastAsiaTheme="minorHAnsi" w:hAnsi="Tahoma" w:cs="Tahoma"/>
          <w:sz w:val="22"/>
          <w:szCs w:val="22"/>
          <w:lang w:eastAsia="en-US"/>
        </w:rPr>
        <w:t xml:space="preserve"> de la adjudicación, IVA excluido.</w:t>
      </w:r>
    </w:p>
    <w:p w14:paraId="2D941E1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En el supuesto de desistimiento antes de la iniciación de las obras, o de suspensión de la iniciación de las mismas por parte de la Administración por plazo superior a cuatro meses, el contratista tendrá derecho a percibir por todos los conceptos una indemnización del </w:t>
      </w:r>
      <w:r w:rsidRPr="00F352D3">
        <w:rPr>
          <w:rFonts w:ascii="Tahoma" w:eastAsiaTheme="minorHAnsi" w:hAnsi="Tahoma" w:cs="Tahoma"/>
          <w:color w:val="FF0000"/>
          <w:sz w:val="22"/>
          <w:szCs w:val="22"/>
          <w:lang w:eastAsia="en-US"/>
        </w:rPr>
        <w:t>3 por cien del precio</w:t>
      </w:r>
      <w:r w:rsidRPr="00F352D3">
        <w:rPr>
          <w:rFonts w:ascii="Tahoma" w:eastAsiaTheme="minorHAnsi" w:hAnsi="Tahoma" w:cs="Tahoma"/>
          <w:sz w:val="22"/>
          <w:szCs w:val="22"/>
          <w:lang w:eastAsia="en-US"/>
        </w:rPr>
        <w:t xml:space="preserve"> de adjudicación, IVA excluido.</w:t>
      </w:r>
    </w:p>
    <w:p w14:paraId="265312E0"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caso de desistimiento una vez iniciada la ejecución de las obras, o de suspensión de las obras iniciadas por plazo superior a ocho meses, el contratista tendrá derecho por todos los conceptos al 6 por cien del precio de adjudicación del contrato de las obras dejadas de realizar en concepto de beneficio industrial, IVA excluido, entendiéndose por obras dejadas de realizar las que resulten de la diferencia entre las reflejadas en el contrato primitivo y sus modificaciones aprobadas y las que hasta la fecha de notificación del desistimiento o de la suspensión se hubieran ejecutado.</w:t>
      </w:r>
    </w:p>
    <w:p w14:paraId="5C07EFE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Cuando las obras hayan de ser continuadas por otro empresario o por la propia Administración, con carácter de urgencia, por motivos de seguridad o para evitar la ruina de lo construido, el órgano de contratación, una vez que haya notificado al contratista la liquidación de las ejecutadas, podrá acordar su continuación, sin perjuicio de que el contratista pueda impugnar la valoración efectuada ante el propio órgano. El órgano de contratación resolverá lo que proceda en el plazo de </w:t>
      </w:r>
      <w:r w:rsidRPr="00F352D3">
        <w:rPr>
          <w:rFonts w:ascii="Tahoma" w:eastAsiaTheme="minorHAnsi" w:hAnsi="Tahoma" w:cs="Tahoma"/>
          <w:color w:val="00B050"/>
          <w:sz w:val="22"/>
          <w:szCs w:val="22"/>
          <w:lang w:eastAsia="en-US"/>
        </w:rPr>
        <w:t>quince días</w:t>
      </w:r>
      <w:r w:rsidRPr="00F352D3">
        <w:rPr>
          <w:rFonts w:ascii="Tahoma" w:eastAsiaTheme="minorHAnsi" w:hAnsi="Tahoma" w:cs="Tahoma"/>
          <w:sz w:val="22"/>
          <w:szCs w:val="22"/>
          <w:lang w:eastAsia="en-US"/>
        </w:rPr>
        <w:t>.</w:t>
      </w:r>
    </w:p>
    <w:p w14:paraId="378AF9D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Serán, asimismo causas de resolución del contrato, el incumplimiento de las restantes obligaciones esenciales calificadas como tales en los Pliegos.</w:t>
      </w:r>
    </w:p>
    <w:p w14:paraId="699F51D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En los casos en que concurran diversas causas de resolución del contrato con diferentes efectos en cuanto a las consecuencias económicas de la extinción, deberá atenderse a la que haya aparecido con prioridad en el tiempo. </w:t>
      </w:r>
    </w:p>
    <w:p w14:paraId="2012BF4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La resolución del contrato dará lugar a la recíproca devolución de los bienes y del importe de los pagos realizados, y, cuando no fuera posible o conveniente para la Entidad Local, habrá de abonar está el precio de los efectivamente entregados y recibidos de conformidad.</w:t>
      </w:r>
    </w:p>
    <w:p w14:paraId="0A40E668"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lastRenderedPageBreak/>
        <w:t xml:space="preserve">Para la aplicación de las causas de resolución y los efectos de la misma en defecto de lo antes señalado se estará a lo dispuesto en los </w:t>
      </w:r>
      <w:hyperlink r:id="rId90" w:anchor="I1516');" w:tooltip="enlace" w:history="1">
        <w:r w:rsidRPr="00F352D3">
          <w:rPr>
            <w:rFonts w:ascii="Tahoma" w:eastAsiaTheme="minorHAnsi" w:hAnsi="Tahoma" w:cs="Tahoma"/>
            <w:sz w:val="22"/>
            <w:szCs w:val="22"/>
            <w:lang w:eastAsia="en-US"/>
          </w:rPr>
          <w:t>artículos 212</w:t>
        </w:r>
      </w:hyperlink>
      <w:r w:rsidRPr="00F352D3">
        <w:rPr>
          <w:rFonts w:ascii="Tahoma" w:eastAsiaTheme="minorHAnsi" w:hAnsi="Tahoma" w:cs="Tahoma"/>
          <w:sz w:val="22"/>
          <w:szCs w:val="22"/>
          <w:lang w:eastAsia="en-US"/>
        </w:rPr>
        <w:t xml:space="preserve"> y </w:t>
      </w:r>
      <w:hyperlink r:id="rId91" w:anchor="I1527');" w:tooltip="enlace" w:history="1">
        <w:r w:rsidRPr="00F352D3">
          <w:rPr>
            <w:rFonts w:ascii="Tahoma" w:eastAsiaTheme="minorHAnsi" w:hAnsi="Tahoma" w:cs="Tahoma"/>
            <w:sz w:val="22"/>
            <w:szCs w:val="22"/>
            <w:lang w:eastAsia="en-US"/>
          </w:rPr>
          <w:t>213 de la LCSP 2017</w:t>
        </w:r>
      </w:hyperlink>
      <w:r w:rsidRPr="00F352D3">
        <w:rPr>
          <w:rFonts w:ascii="Tahoma" w:eastAsiaTheme="minorHAnsi" w:hAnsi="Tahoma" w:cs="Tahoma"/>
          <w:sz w:val="22"/>
          <w:szCs w:val="22"/>
          <w:lang w:eastAsia="en-US"/>
        </w:rPr>
        <w:t>.</w:t>
      </w:r>
    </w:p>
    <w:p w14:paraId="76D3CE90" w14:textId="77777777" w:rsidR="005F4B5F" w:rsidRPr="00F352D3" w:rsidRDefault="005F4B5F" w:rsidP="005F4B5F">
      <w:pPr>
        <w:spacing w:after="200" w:line="276" w:lineRule="auto"/>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 xml:space="preserve">Cláusula 51.- Prerrogativas de la Administración y Tribunales competentes </w:t>
      </w:r>
    </w:p>
    <w:p w14:paraId="36A85FA7"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Dentro de los límites y con sujeción a los requisitos y efectos señalados en la </w:t>
      </w:r>
      <w:hyperlink r:id="rId92" w:tooltip="enlace" w:history="1">
        <w:r w:rsidRPr="00F352D3">
          <w:rPr>
            <w:rFonts w:ascii="Tahoma" w:eastAsiaTheme="minorHAnsi" w:hAnsi="Tahoma" w:cs="Tahoma"/>
            <w:sz w:val="22"/>
            <w:szCs w:val="22"/>
            <w:lang w:eastAsia="en-US"/>
          </w:rPr>
          <w:t>LCSP 2017</w:t>
        </w:r>
      </w:hyperlink>
      <w:r w:rsidRPr="00F352D3">
        <w:rPr>
          <w:rFonts w:ascii="Tahoma" w:eastAsiaTheme="minorHAnsi" w:hAnsi="Tahoma" w:cs="Tahoma"/>
          <w:sz w:val="22"/>
          <w:szCs w:val="22"/>
          <w:lang w:eastAsia="en-US"/>
        </w:rPr>
        <w:t>, el órgano de contratación ostenta la prerrogativa de interpretar los contratos administrativos, resolver las dudas que ofrezca su cumplimiento, modificarlos por razones de interés público, declarar la responsabilidad imputable al contratista a raíz de la ejecución del contrato, suspender la ejecución del mismo, acordar su resolución y determinar los efectos de esta.</w:t>
      </w:r>
    </w:p>
    <w:p w14:paraId="746A4E86"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En los procedimientos que se instruyan para la adopción de acuerdos relativos a las prerrogativas señaladas, deberá darse audiencia al contratista.</w:t>
      </w:r>
    </w:p>
    <w:p w14:paraId="2D53681C"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No obstante lo anterior, será preceptivo el dictamen del órgano consultivo de la Comunidad Autónoma respectiva en los casos de:</w:t>
      </w:r>
    </w:p>
    <w:p w14:paraId="73CDD6B5"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a) Interpretación, nulidad y resolución, cuando se formule oposición por parte del contratista.</w:t>
      </w:r>
    </w:p>
    <w:p w14:paraId="3AB2C41B"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b) Modificaciones del contrato, cuando no estuvieran previstas en el pliego de cláusulas administrativas particulares y su cuantía, aislada o conjuntamente, sea superior a un </w:t>
      </w:r>
      <w:r w:rsidRPr="00F352D3">
        <w:rPr>
          <w:rFonts w:ascii="Tahoma" w:eastAsiaTheme="minorHAnsi" w:hAnsi="Tahoma" w:cs="Tahoma"/>
          <w:color w:val="FF0000"/>
          <w:sz w:val="22"/>
          <w:szCs w:val="22"/>
          <w:lang w:eastAsia="en-US"/>
        </w:rPr>
        <w:t>20 por ciento del precio</w:t>
      </w:r>
      <w:r w:rsidRPr="00F352D3">
        <w:rPr>
          <w:rFonts w:ascii="Tahoma" w:eastAsiaTheme="minorHAnsi" w:hAnsi="Tahoma" w:cs="Tahoma"/>
          <w:sz w:val="22"/>
          <w:szCs w:val="22"/>
          <w:lang w:eastAsia="en-US"/>
        </w:rPr>
        <w:t xml:space="preserve"> inicial del contrato, IVA excluido.</w:t>
      </w:r>
    </w:p>
    <w:p w14:paraId="771A1E71"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c) Reclamaciones dirigidas a la Administración con fundamento en la responsabilidad contractual en que esta pudiera haber incurrido, en los casos en que las indemnizaciones reclamadas sean de cuantía igual o superior a </w:t>
      </w:r>
      <w:r w:rsidRPr="00F352D3">
        <w:rPr>
          <w:rFonts w:ascii="Tahoma" w:eastAsiaTheme="minorHAnsi" w:hAnsi="Tahoma" w:cs="Tahoma"/>
          <w:color w:val="FF0000"/>
          <w:sz w:val="22"/>
          <w:szCs w:val="22"/>
          <w:lang w:eastAsia="en-US"/>
        </w:rPr>
        <w:t>50.000 euros</w:t>
      </w:r>
      <w:r w:rsidRPr="00F352D3">
        <w:rPr>
          <w:rFonts w:ascii="Tahoma" w:eastAsiaTheme="minorHAnsi" w:hAnsi="Tahoma" w:cs="Tahoma"/>
          <w:sz w:val="22"/>
          <w:szCs w:val="22"/>
          <w:lang w:eastAsia="en-US"/>
        </w:rPr>
        <w:t>.</w:t>
      </w:r>
    </w:p>
    <w:p w14:paraId="400EBEB3"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Las cuestiones litigiosas surgidas sobre la interpretación, modificación y resolución del contrato, y efectos de ésta, serán resueltas por el órgano de contratación, cuyos acuerdos pondrán fin a la vía administrativa, y serán inmediatamente ejecutivos, pudiendo ser recurridos potestativamente en reposición ante el mismo órgano que los dictó, o ser impugnado mediante recurso contencioso-administrativo, conforme a lo dispuesto en la Ley reguladora de dicha Jurisdicción. </w:t>
      </w:r>
    </w:p>
    <w:p w14:paraId="10B6B75E" w14:textId="77777777" w:rsidR="005F4B5F" w:rsidRPr="00F352D3" w:rsidRDefault="005F4B5F" w:rsidP="005F4B5F">
      <w:pPr>
        <w:spacing w:after="200" w:line="276" w:lineRule="auto"/>
        <w:jc w:val="both"/>
        <w:rPr>
          <w:rFonts w:ascii="Tahoma" w:eastAsiaTheme="minorHAnsi" w:hAnsi="Tahoma" w:cs="Tahoma"/>
          <w:b/>
          <w:color w:val="FF0000"/>
          <w:sz w:val="22"/>
          <w:szCs w:val="22"/>
          <w:lang w:eastAsia="en-US"/>
        </w:rPr>
      </w:pPr>
      <w:r w:rsidRPr="00F352D3">
        <w:rPr>
          <w:rFonts w:ascii="Tahoma" w:eastAsiaTheme="minorHAnsi" w:hAnsi="Tahoma" w:cs="Tahoma"/>
          <w:b/>
          <w:color w:val="FF0000"/>
          <w:sz w:val="22"/>
          <w:szCs w:val="22"/>
          <w:lang w:eastAsia="en-US"/>
        </w:rPr>
        <w:t>Cláusula 52.- Régimen de recursos contra la documentación que rige la licitación</w:t>
      </w:r>
    </w:p>
    <w:p w14:paraId="4CA5388F" w14:textId="77777777" w:rsidR="005F4B5F" w:rsidRPr="00F352D3" w:rsidRDefault="005F4B5F" w:rsidP="005F4B5F">
      <w:pPr>
        <w:spacing w:after="200" w:line="276" w:lineRule="auto"/>
        <w:jc w:val="both"/>
        <w:rPr>
          <w:rFonts w:ascii="Tahoma" w:eastAsiaTheme="minorHAnsi" w:hAnsi="Tahoma" w:cs="Tahoma"/>
          <w:sz w:val="22"/>
          <w:szCs w:val="22"/>
          <w:lang w:eastAsia="en-US"/>
        </w:rPr>
      </w:pPr>
      <w:r w:rsidRPr="00F352D3">
        <w:rPr>
          <w:rFonts w:ascii="Tahoma" w:eastAsiaTheme="minorHAnsi" w:hAnsi="Tahoma" w:cs="Tahoma"/>
          <w:sz w:val="22"/>
          <w:szCs w:val="22"/>
          <w:lang w:eastAsia="en-US"/>
        </w:rPr>
        <w:t xml:space="preserve">Se podrá interponer recurso contencioso-administrativo, ante los Juzgados de lo Contencioso-administrativo de León, de acuerdo con lo dispuesto en la </w:t>
      </w:r>
      <w:hyperlink r:id="rId93" w:tooltip="enlace" w:history="1">
        <w:r w:rsidRPr="00F352D3">
          <w:rPr>
            <w:rFonts w:ascii="Tahoma" w:eastAsiaTheme="minorHAnsi" w:hAnsi="Tahoma" w:cs="Tahoma"/>
            <w:sz w:val="22"/>
            <w:szCs w:val="22"/>
            <w:lang w:eastAsia="en-US"/>
          </w:rPr>
          <w:t>Ley 29/1998, de 13 de julio, reguladora de la Jurisdicción Contencioso-administrativa</w:t>
        </w:r>
      </w:hyperlink>
      <w:r w:rsidRPr="00F352D3">
        <w:rPr>
          <w:rFonts w:ascii="Tahoma" w:eastAsiaTheme="minorHAnsi" w:hAnsi="Tahoma" w:cs="Tahoma"/>
          <w:sz w:val="22"/>
          <w:szCs w:val="22"/>
          <w:lang w:eastAsia="en-US"/>
        </w:rPr>
        <w:t xml:space="preserve">. No obstante, el interesado podrá optar por interponer recurso de reposición ante el Pleno de este Ayuntamiento en cuyo caso no cabrá interponer el recurso contencioso-administrativo anteriormente citado, en tanto no recaiga resolución expresa o presunta del recurso de reposición, de conformidad con lo establecido en los </w:t>
      </w:r>
      <w:hyperlink r:id="rId94" w:anchor="I749');" w:tooltip="enlace" w:history="1">
        <w:r w:rsidRPr="00F352D3">
          <w:rPr>
            <w:rFonts w:ascii="Tahoma" w:eastAsiaTheme="minorHAnsi" w:hAnsi="Tahoma" w:cs="Tahoma"/>
            <w:sz w:val="22"/>
            <w:szCs w:val="22"/>
            <w:lang w:eastAsia="en-US"/>
          </w:rPr>
          <w:t>arts. 123 y siguientes de la Ley 39/2015, de 1 de octubre, del Procedimiento Administrativo Común de las Administraciones Públicas</w:t>
        </w:r>
      </w:hyperlink>
      <w:r w:rsidRPr="00F352D3">
        <w:rPr>
          <w:rFonts w:ascii="Tahoma" w:eastAsiaTheme="minorHAnsi" w:hAnsi="Tahoma" w:cs="Tahoma"/>
          <w:sz w:val="22"/>
          <w:szCs w:val="22"/>
          <w:lang w:eastAsia="en-US"/>
        </w:rPr>
        <w:t>, sin perjuicio de que el interesado pueda ejercitar cualquier otro recurso que estime procedente.</w:t>
      </w:r>
    </w:p>
    <w:p w14:paraId="7977B49D" w14:textId="77777777" w:rsidR="005F4B5F" w:rsidRPr="00F352D3" w:rsidRDefault="005F4B5F" w:rsidP="005F4B5F">
      <w:pPr>
        <w:spacing w:before="100" w:beforeAutospacing="1" w:after="100" w:afterAutospacing="1"/>
        <w:jc w:val="center"/>
        <w:rPr>
          <w:rFonts w:ascii="Verdana" w:hAnsi="Verdana"/>
          <w:b/>
          <w:i/>
          <w:color w:val="272923"/>
        </w:rPr>
      </w:pPr>
      <w:r w:rsidRPr="00F352D3">
        <w:rPr>
          <w:rFonts w:ascii="Verdana" w:hAnsi="Verdana"/>
          <w:b/>
          <w:i/>
          <w:color w:val="272923"/>
        </w:rPr>
        <w:lastRenderedPageBreak/>
        <w:t>ANEXO I</w:t>
      </w:r>
    </w:p>
    <w:p w14:paraId="0058F61B" w14:textId="79C990B3" w:rsidR="005F4B5F" w:rsidRPr="00F352D3" w:rsidRDefault="005F4B5F" w:rsidP="005F4B5F">
      <w:pPr>
        <w:spacing w:before="100" w:beforeAutospacing="1" w:after="100" w:afterAutospacing="1"/>
        <w:jc w:val="both"/>
        <w:rPr>
          <w:rFonts w:ascii="Verdana" w:hAnsi="Verdana"/>
          <w:i/>
          <w:color w:val="272923"/>
        </w:rPr>
      </w:pPr>
      <w:r w:rsidRPr="00F352D3">
        <w:rPr>
          <w:rFonts w:ascii="Verdana" w:hAnsi="Verdana"/>
          <w:b/>
          <w:i/>
          <w:color w:val="272923"/>
        </w:rPr>
        <w:t>SOBRE A</w:t>
      </w:r>
      <w:r w:rsidRPr="00F352D3">
        <w:rPr>
          <w:rFonts w:ascii="Verdana" w:hAnsi="Verdana"/>
          <w:i/>
          <w:color w:val="272923"/>
        </w:rPr>
        <w:t xml:space="preserve">: Documentación General para la contratación de las obras del </w:t>
      </w:r>
      <w:bookmarkStart w:id="2" w:name="_Hlk5702722"/>
      <w:r w:rsidRPr="00F352D3">
        <w:rPr>
          <w:rFonts w:ascii="Verdana" w:hAnsi="Verdana"/>
          <w:i/>
          <w:color w:val="272923"/>
        </w:rPr>
        <w:t xml:space="preserve">FONDO DE </w:t>
      </w:r>
      <w:r w:rsidR="00093F16">
        <w:rPr>
          <w:rFonts w:ascii="Verdana" w:hAnsi="Verdana"/>
          <w:i/>
          <w:color w:val="272923"/>
        </w:rPr>
        <w:t>COOPERACION ECONOMICA LOCL GENERAL 202</w:t>
      </w:r>
      <w:r w:rsidR="003543E6">
        <w:rPr>
          <w:rFonts w:ascii="Verdana" w:hAnsi="Verdana"/>
          <w:i/>
          <w:color w:val="272923"/>
        </w:rPr>
        <w:t>6</w:t>
      </w:r>
      <w:r w:rsidR="0087768F">
        <w:rPr>
          <w:rFonts w:ascii="Verdana" w:hAnsi="Verdana"/>
          <w:i/>
          <w:color w:val="272923"/>
        </w:rPr>
        <w:t>-JCYL</w:t>
      </w:r>
      <w:r w:rsidRPr="00F352D3">
        <w:rPr>
          <w:rFonts w:ascii="Verdana" w:hAnsi="Verdana"/>
          <w:i/>
          <w:color w:val="272923"/>
        </w:rPr>
        <w:t>.</w:t>
      </w:r>
      <w:bookmarkEnd w:id="2"/>
      <w:r w:rsidR="003543E6">
        <w:rPr>
          <w:rFonts w:ascii="Verdana" w:hAnsi="Verdana"/>
          <w:i/>
          <w:color w:val="272923"/>
        </w:rPr>
        <w:t xml:space="preserve"> RENOVACIÓN DE LA PLAZA DEL FRONTÓN DE MATALOBOS</w:t>
      </w:r>
      <w:r w:rsidR="00F001E3">
        <w:rPr>
          <w:rFonts w:ascii="Verdana" w:hAnsi="Verdana"/>
          <w:i/>
          <w:color w:val="272923"/>
        </w:rPr>
        <w:t xml:space="preserve"> DEL PARAMO.</w:t>
      </w:r>
    </w:p>
    <w:p w14:paraId="6FE62214" w14:textId="77777777" w:rsidR="005F4B5F" w:rsidRPr="00F352D3" w:rsidRDefault="005F4B5F" w:rsidP="005F4B5F">
      <w:pPr>
        <w:spacing w:before="100" w:beforeAutospacing="1"/>
        <w:jc w:val="both"/>
        <w:rPr>
          <w:rFonts w:ascii="Verdana" w:hAnsi="Verdana"/>
          <w:b/>
          <w:color w:val="272923"/>
        </w:rPr>
      </w:pPr>
      <w:r w:rsidRPr="00F352D3">
        <w:rPr>
          <w:rFonts w:ascii="Verdana" w:hAnsi="Verdana"/>
          <w:b/>
          <w:color w:val="272923"/>
        </w:rPr>
        <w:t>DECLARACIÓN RESPONSABLE</w:t>
      </w:r>
    </w:p>
    <w:p w14:paraId="6AB642EA" w14:textId="77777777" w:rsidR="005F4B5F" w:rsidRPr="00F352D3" w:rsidRDefault="005F4B5F" w:rsidP="005F4B5F">
      <w:pPr>
        <w:numPr>
          <w:ilvl w:val="0"/>
          <w:numId w:val="11"/>
        </w:numPr>
        <w:spacing w:after="200" w:line="276" w:lineRule="auto"/>
        <w:jc w:val="both"/>
        <w:rPr>
          <w:rFonts w:ascii="Verdana" w:hAnsi="Verdana"/>
          <w:color w:val="272923"/>
        </w:rPr>
      </w:pPr>
      <w:r w:rsidRPr="00F352D3">
        <w:rPr>
          <w:rFonts w:ascii="Verdana" w:hAnsi="Verdana"/>
          <w:color w:val="272923"/>
        </w:rPr>
        <w:t>"D./Dª ___________________________________________, con DNI ____________________, en su propio nombre o como representante legal de la empresa ______________________, DECLARO BAJO MI RESPONSABILIDAD:</w:t>
      </w:r>
    </w:p>
    <w:p w14:paraId="30F3CA2C" w14:textId="77777777" w:rsidR="005F4B5F" w:rsidRPr="00F352D3" w:rsidRDefault="005F4B5F" w:rsidP="005F4B5F">
      <w:pPr>
        <w:numPr>
          <w:ilvl w:val="0"/>
          <w:numId w:val="11"/>
        </w:numPr>
        <w:spacing w:after="200" w:line="276" w:lineRule="auto"/>
        <w:jc w:val="both"/>
        <w:rPr>
          <w:rFonts w:ascii="Verdana" w:hAnsi="Verdana"/>
          <w:color w:val="272923"/>
        </w:rPr>
      </w:pPr>
      <w:r w:rsidRPr="00F352D3">
        <w:rPr>
          <w:rFonts w:ascii="Verdana" w:hAnsi="Verdana"/>
          <w:color w:val="272923"/>
        </w:rPr>
        <w:t>1º. El fiel cumplimiento de las condiciones establecidas legalmente para contratar con la Administración, conforme exige la Ley de Contratos del Sector Público 9/2017, de 8 de noviembre, en los términos y condiciones previstos en el mismo.</w:t>
      </w:r>
    </w:p>
    <w:p w14:paraId="139FD8EC" w14:textId="77777777" w:rsidR="005F4B5F" w:rsidRPr="00F352D3" w:rsidRDefault="005F4B5F" w:rsidP="005F4B5F">
      <w:pPr>
        <w:numPr>
          <w:ilvl w:val="0"/>
          <w:numId w:val="11"/>
        </w:numPr>
        <w:spacing w:after="200" w:line="276" w:lineRule="auto"/>
        <w:jc w:val="both"/>
        <w:rPr>
          <w:rFonts w:ascii="Verdana" w:hAnsi="Verdana"/>
          <w:color w:val="272923"/>
        </w:rPr>
      </w:pPr>
      <w:r w:rsidRPr="00F352D3">
        <w:rPr>
          <w:rFonts w:ascii="Verdana" w:hAnsi="Verdana"/>
          <w:color w:val="272923"/>
        </w:rPr>
        <w:t xml:space="preserve">2º. No estar incurso (y/o la empresa a la que se representa, sus administradores o representantes) en ninguna de las </w:t>
      </w:r>
      <w:r w:rsidRPr="00F352D3">
        <w:rPr>
          <w:rFonts w:ascii="Verdana" w:hAnsi="Verdana"/>
        </w:rPr>
        <w:t xml:space="preserve">prohibiciones e incompatibilidades para contratar señaladas en el </w:t>
      </w:r>
      <w:hyperlink r:id="rId95" w:history="1">
        <w:r w:rsidRPr="00F352D3">
          <w:rPr>
            <w:rFonts w:ascii="Verdana" w:hAnsi="Verdana"/>
          </w:rPr>
          <w:t xml:space="preserve">artículo 71 </w:t>
        </w:r>
      </w:hyperlink>
      <w:r w:rsidRPr="00F352D3">
        <w:rPr>
          <w:rFonts w:ascii="Verdana" w:hAnsi="Verdana"/>
          <w:vanish/>
        </w:rPr>
        <w:t>art.60 Real Decreto Legislativo 3/2011, de 14 de noviembre, por el que se aprueba el texto refundido de la Ley de Contratos del Sector Público.</w:t>
      </w:r>
      <w:r w:rsidRPr="00F352D3">
        <w:rPr>
          <w:rFonts w:ascii="Verdana" w:hAnsi="Verdana"/>
        </w:rPr>
        <w:t xml:space="preserve"> de la</w:t>
      </w:r>
      <w:r w:rsidRPr="00F352D3">
        <w:rPr>
          <w:rFonts w:ascii="Verdana" w:hAnsi="Verdana"/>
          <w:color w:val="272923"/>
        </w:rPr>
        <w:t xml:space="preserve"> Ley de Contratos del Sector Público 9/2017, de 8 de noviembre en los términos y condiciones previstos en el mismo.</w:t>
      </w:r>
    </w:p>
    <w:p w14:paraId="76518E87" w14:textId="77777777" w:rsidR="005F4B5F" w:rsidRPr="00F352D3" w:rsidRDefault="005F4B5F" w:rsidP="005F4B5F">
      <w:pPr>
        <w:numPr>
          <w:ilvl w:val="0"/>
          <w:numId w:val="11"/>
        </w:numPr>
        <w:spacing w:after="200" w:line="276" w:lineRule="auto"/>
        <w:contextualSpacing/>
        <w:jc w:val="both"/>
        <w:rPr>
          <w:rFonts w:ascii="Verdana" w:hAnsi="Verdana"/>
          <w:color w:val="272923"/>
        </w:rPr>
      </w:pPr>
      <w:r w:rsidRPr="00F352D3">
        <w:rPr>
          <w:rFonts w:ascii="Verdana" w:hAnsi="Verdana"/>
          <w:color w:val="272923"/>
        </w:rPr>
        <w:t>3º. Estar al corriente del cumplimiento de las obligaciones tributarias y con la Seguridad Social impuestas por las disposiciones vigentes, así como no tener deudas de naturaleza tributaria en período ejecutivo de pago con el Ayuntamiento de Bustillo del Páramo, autorizando a la Administración contratante para que, de resultar propuesto como adjudicatario, acceda a la citada información a través de las bases de datos de otras Administraciones Públicas con las que haya establecido convenios.</w:t>
      </w:r>
    </w:p>
    <w:p w14:paraId="31D5C51C" w14:textId="77777777" w:rsidR="005F4B5F" w:rsidRPr="00F352D3" w:rsidRDefault="005F4B5F" w:rsidP="005F4B5F">
      <w:pPr>
        <w:numPr>
          <w:ilvl w:val="0"/>
          <w:numId w:val="11"/>
        </w:numPr>
        <w:spacing w:after="200" w:line="276" w:lineRule="auto"/>
        <w:jc w:val="both"/>
        <w:rPr>
          <w:rFonts w:ascii="Verdana" w:hAnsi="Verdana"/>
          <w:color w:val="272923"/>
        </w:rPr>
      </w:pPr>
      <w:r w:rsidRPr="00F352D3">
        <w:rPr>
          <w:rFonts w:ascii="Verdana" w:hAnsi="Verdana"/>
          <w:color w:val="272923"/>
        </w:rPr>
        <w:t xml:space="preserve">Asimismo, se compromete a acreditar ante el órgano de contratación, previamente a la adjudicación del contrato, la </w:t>
      </w:r>
      <w:r w:rsidRPr="00F352D3">
        <w:rPr>
          <w:rFonts w:ascii="Verdana" w:hAnsi="Verdana"/>
        </w:rPr>
        <w:t>posesión y validez de los documentos exigidos en el</w:t>
      </w:r>
      <w:r w:rsidRPr="00F352D3">
        <w:rPr>
          <w:rFonts w:ascii="Verdana" w:eastAsiaTheme="minorHAnsi" w:hAnsi="Verdana" w:cstheme="minorBidi"/>
          <w:lang w:eastAsia="en-US"/>
        </w:rPr>
        <w:t>art. 76.2 de la</w:t>
      </w:r>
      <w:r w:rsidRPr="00F352D3">
        <w:rPr>
          <w:rFonts w:ascii="Verdana" w:hAnsi="Verdana"/>
          <w:color w:val="272923"/>
        </w:rPr>
        <w:t>Ley de Contratos del Sector Público 9/2017, de 8 de noviembre</w:t>
      </w:r>
    </w:p>
    <w:p w14:paraId="70F78495" w14:textId="49E43AC2" w:rsidR="00A47BEA" w:rsidRDefault="00A47BEA" w:rsidP="00A47BEA">
      <w:pPr>
        <w:spacing w:before="100" w:beforeAutospacing="1"/>
        <w:jc w:val="both"/>
        <w:rPr>
          <w:rFonts w:ascii="Verdana" w:hAnsi="Verdana"/>
          <w:color w:val="272923"/>
        </w:rPr>
      </w:pPr>
      <w:r>
        <w:rPr>
          <w:rFonts w:ascii="Verdana" w:hAnsi="Verdana"/>
          <w:color w:val="272923"/>
        </w:rPr>
        <w:t xml:space="preserve">        En ___________</w:t>
      </w:r>
      <w:r w:rsidR="005F4B5F" w:rsidRPr="00F352D3">
        <w:rPr>
          <w:rFonts w:ascii="Verdana" w:hAnsi="Verdana"/>
          <w:color w:val="272923"/>
        </w:rPr>
        <w:t>____ a ____ de ______________de 202</w:t>
      </w:r>
      <w:r w:rsidR="003543E6">
        <w:rPr>
          <w:rFonts w:ascii="Verdana" w:hAnsi="Verdana"/>
          <w:color w:val="272923"/>
        </w:rPr>
        <w:t>6</w:t>
      </w:r>
    </w:p>
    <w:p w14:paraId="62A637EC" w14:textId="77777777" w:rsidR="005F4B5F" w:rsidRPr="00F352D3" w:rsidRDefault="005F4B5F" w:rsidP="00A47BEA">
      <w:pPr>
        <w:spacing w:before="100" w:beforeAutospacing="1"/>
        <w:ind w:left="2124" w:firstLine="708"/>
        <w:jc w:val="both"/>
        <w:rPr>
          <w:rFonts w:ascii="Verdana" w:hAnsi="Verdana"/>
          <w:color w:val="272923"/>
        </w:rPr>
      </w:pPr>
      <w:r w:rsidRPr="00F352D3">
        <w:rPr>
          <w:rFonts w:ascii="Verdana" w:hAnsi="Verdana"/>
          <w:color w:val="272923"/>
        </w:rPr>
        <w:t>Fdo. _______________</w:t>
      </w:r>
    </w:p>
    <w:p w14:paraId="1DBC32E0" w14:textId="77777777" w:rsidR="001C2570" w:rsidRDefault="001C2570" w:rsidP="005F4B5F">
      <w:pPr>
        <w:spacing w:before="100" w:beforeAutospacing="1" w:after="100" w:afterAutospacing="1"/>
        <w:jc w:val="both"/>
        <w:rPr>
          <w:rFonts w:ascii="Verdana" w:hAnsi="Verdana"/>
          <w:b/>
          <w:i/>
          <w:color w:val="272923"/>
        </w:rPr>
      </w:pPr>
    </w:p>
    <w:p w14:paraId="12B75149" w14:textId="77777777" w:rsidR="00F001E3" w:rsidRDefault="00F001E3" w:rsidP="005F4B5F">
      <w:pPr>
        <w:spacing w:before="100" w:beforeAutospacing="1" w:after="100" w:afterAutospacing="1"/>
        <w:jc w:val="both"/>
        <w:rPr>
          <w:rFonts w:ascii="Verdana" w:hAnsi="Verdana"/>
          <w:b/>
          <w:i/>
          <w:color w:val="272923"/>
        </w:rPr>
      </w:pPr>
    </w:p>
    <w:p w14:paraId="7DA9A0B6" w14:textId="77777777" w:rsidR="003543E6" w:rsidRPr="00F352D3" w:rsidRDefault="005F4B5F" w:rsidP="003543E6">
      <w:pPr>
        <w:spacing w:before="100" w:beforeAutospacing="1" w:after="100" w:afterAutospacing="1"/>
        <w:jc w:val="both"/>
        <w:rPr>
          <w:rFonts w:ascii="Verdana" w:hAnsi="Verdana"/>
          <w:i/>
          <w:color w:val="272923"/>
        </w:rPr>
      </w:pPr>
      <w:r w:rsidRPr="00F352D3">
        <w:rPr>
          <w:rFonts w:ascii="Verdana" w:hAnsi="Verdana"/>
          <w:b/>
          <w:i/>
          <w:color w:val="272923"/>
        </w:rPr>
        <w:t>SOBRE B:</w:t>
      </w:r>
      <w:r w:rsidRPr="00F352D3">
        <w:rPr>
          <w:rFonts w:ascii="Verdana" w:hAnsi="Verdana"/>
          <w:i/>
          <w:color w:val="272923"/>
        </w:rPr>
        <w:t xml:space="preserve"> Proposición económica para la contratación de las obras del </w:t>
      </w:r>
      <w:r w:rsidR="003543E6" w:rsidRPr="00F352D3">
        <w:rPr>
          <w:rFonts w:ascii="Verdana" w:hAnsi="Verdana"/>
          <w:i/>
          <w:color w:val="272923"/>
        </w:rPr>
        <w:t xml:space="preserve">FONDO DE </w:t>
      </w:r>
      <w:r w:rsidR="003543E6">
        <w:rPr>
          <w:rFonts w:ascii="Verdana" w:hAnsi="Verdana"/>
          <w:i/>
          <w:color w:val="272923"/>
        </w:rPr>
        <w:t>COOPERACION ECONOMICA LOCL GENERAL 2026-JCYL</w:t>
      </w:r>
      <w:r w:rsidR="003543E6" w:rsidRPr="00F352D3">
        <w:rPr>
          <w:rFonts w:ascii="Verdana" w:hAnsi="Verdana"/>
          <w:i/>
          <w:color w:val="272923"/>
        </w:rPr>
        <w:t>.</w:t>
      </w:r>
      <w:r w:rsidR="003543E6">
        <w:rPr>
          <w:rFonts w:ascii="Verdana" w:hAnsi="Verdana"/>
          <w:i/>
          <w:color w:val="272923"/>
        </w:rPr>
        <w:t xml:space="preserve"> RENOVACIÓN DE LA PLAZA DEL FRONTÓN DE MATALOBOS DEL PARAMO.</w:t>
      </w:r>
    </w:p>
    <w:p w14:paraId="1DB61B30" w14:textId="6F87692A" w:rsidR="00F001E3" w:rsidRDefault="00F001E3" w:rsidP="005F4B5F">
      <w:pPr>
        <w:spacing w:before="100" w:beforeAutospacing="1" w:after="100" w:afterAutospacing="1"/>
        <w:jc w:val="both"/>
        <w:rPr>
          <w:rFonts w:ascii="Verdana" w:hAnsi="Verdana"/>
          <w:b/>
          <w:bCs/>
          <w:color w:val="272923"/>
        </w:rPr>
      </w:pPr>
    </w:p>
    <w:p w14:paraId="52FD6938" w14:textId="77777777" w:rsidR="005F4B5F" w:rsidRPr="00F352D3" w:rsidRDefault="005F4B5F" w:rsidP="005F4B5F">
      <w:pPr>
        <w:spacing w:before="100" w:beforeAutospacing="1" w:after="100" w:afterAutospacing="1"/>
        <w:jc w:val="both"/>
        <w:rPr>
          <w:rFonts w:ascii="Verdana" w:hAnsi="Verdana"/>
          <w:color w:val="272923"/>
        </w:rPr>
      </w:pPr>
      <w:r w:rsidRPr="00F352D3">
        <w:rPr>
          <w:rFonts w:ascii="Verdana" w:hAnsi="Verdana"/>
          <w:b/>
          <w:bCs/>
          <w:color w:val="272923"/>
        </w:rPr>
        <w:t>ANEXO II. MODELO DE PROPOSICIÓN ECONÓMICA</w:t>
      </w:r>
    </w:p>
    <w:p w14:paraId="5EBA643B" w14:textId="3503D093" w:rsidR="005F4B5F" w:rsidRPr="00F352D3" w:rsidRDefault="005F4B5F" w:rsidP="005F4B5F">
      <w:pPr>
        <w:spacing w:before="100" w:beforeAutospacing="1" w:after="100" w:afterAutospacing="1"/>
        <w:jc w:val="both"/>
        <w:rPr>
          <w:rFonts w:ascii="Verdana" w:hAnsi="Verdana"/>
          <w:i/>
          <w:color w:val="272923"/>
        </w:rPr>
      </w:pPr>
      <w:r w:rsidRPr="00F352D3">
        <w:rPr>
          <w:rFonts w:ascii="Verdana" w:hAnsi="Verdana"/>
          <w:color w:val="272923"/>
        </w:rPr>
        <w:t>D./Dª ____________________, con DNI nº _____________, enterado del Pliego de Cláusulas Administrativas Particulares y del de prescripciones técnicas y del proyecto que han de regir la contratación para la ejecución de la obra</w:t>
      </w:r>
      <w:r w:rsidRPr="00F352D3">
        <w:rPr>
          <w:rFonts w:ascii="Verdana" w:hAnsi="Verdana"/>
          <w:i/>
          <w:color w:val="272923"/>
        </w:rPr>
        <w:t xml:space="preserve"> del </w:t>
      </w:r>
      <w:r w:rsidR="003543E6" w:rsidRPr="00F352D3">
        <w:rPr>
          <w:rFonts w:ascii="Verdana" w:hAnsi="Verdana"/>
          <w:i/>
          <w:color w:val="272923"/>
        </w:rPr>
        <w:t xml:space="preserve">FONDO DE </w:t>
      </w:r>
      <w:r w:rsidR="003543E6">
        <w:rPr>
          <w:rFonts w:ascii="Verdana" w:hAnsi="Verdana"/>
          <w:i/>
          <w:color w:val="272923"/>
        </w:rPr>
        <w:t>COOPERACION ECONOMICA LOCL GENERAL 2026-JCYL</w:t>
      </w:r>
      <w:r w:rsidR="003543E6" w:rsidRPr="00F352D3">
        <w:rPr>
          <w:rFonts w:ascii="Verdana" w:hAnsi="Verdana"/>
          <w:i/>
          <w:color w:val="272923"/>
        </w:rPr>
        <w:t>.</w:t>
      </w:r>
      <w:r w:rsidR="003543E6">
        <w:rPr>
          <w:rFonts w:ascii="Verdana" w:hAnsi="Verdana"/>
          <w:i/>
          <w:color w:val="272923"/>
        </w:rPr>
        <w:t xml:space="preserve"> RENOVACIÓN DE LA PLAZA DEL FRONTÓN DE MATALOBOS DEL PARAMO </w:t>
      </w:r>
      <w:r w:rsidRPr="00F352D3">
        <w:rPr>
          <w:rFonts w:ascii="Verdana" w:hAnsi="Verdana"/>
          <w:color w:val="272923"/>
        </w:rPr>
        <w:t>y aceptando íntegramente el contenido de los mismos, en nombre de ____________</w:t>
      </w:r>
      <w:r w:rsidR="003543E6">
        <w:rPr>
          <w:rFonts w:ascii="Verdana" w:hAnsi="Verdana"/>
          <w:color w:val="272923"/>
        </w:rPr>
        <w:t>_______</w:t>
      </w:r>
      <w:r w:rsidRPr="00F352D3">
        <w:rPr>
          <w:rFonts w:ascii="Verdana" w:hAnsi="Verdana"/>
          <w:color w:val="272923"/>
        </w:rPr>
        <w:t xml:space="preserve">__________, oferta las siguientes cantidades: </w:t>
      </w:r>
    </w:p>
    <w:p w14:paraId="2FA411F0" w14:textId="77777777" w:rsidR="005F4B5F" w:rsidRPr="00F352D3" w:rsidRDefault="005F4B5F" w:rsidP="005F4B5F">
      <w:pPr>
        <w:spacing w:before="100" w:beforeAutospacing="1" w:after="100" w:afterAutospacing="1"/>
        <w:jc w:val="center"/>
        <w:rPr>
          <w:rFonts w:ascii="Verdana" w:hAnsi="Verdana"/>
          <w:b/>
          <w:color w:val="272923"/>
          <w:sz w:val="22"/>
          <w:szCs w:val="22"/>
          <w:u w:val="single"/>
        </w:rPr>
      </w:pPr>
      <w:bookmarkStart w:id="3" w:name="_Hlk5702016"/>
      <w:r w:rsidRPr="00F352D3">
        <w:rPr>
          <w:rFonts w:ascii="Verdana" w:hAnsi="Verdana"/>
          <w:b/>
          <w:color w:val="272923"/>
          <w:sz w:val="22"/>
          <w:szCs w:val="22"/>
          <w:u w:val="single"/>
        </w:rPr>
        <w:t>PRESUPUESTO BASE DE LICITACIÓN:</w:t>
      </w:r>
    </w:p>
    <w:tbl>
      <w:tblPr>
        <w:tblStyle w:val="Tablaconcuadrcula6"/>
        <w:tblW w:w="0" w:type="auto"/>
        <w:tblLook w:val="04A0" w:firstRow="1" w:lastRow="0" w:firstColumn="1" w:lastColumn="0" w:noHBand="0" w:noVBand="1"/>
      </w:tblPr>
      <w:tblGrid>
        <w:gridCol w:w="2587"/>
        <w:gridCol w:w="2198"/>
        <w:gridCol w:w="2198"/>
        <w:gridCol w:w="1737"/>
      </w:tblGrid>
      <w:tr w:rsidR="005F4B5F" w:rsidRPr="00F352D3" w14:paraId="132D49DF" w14:textId="77777777" w:rsidTr="00D41212">
        <w:tc>
          <w:tcPr>
            <w:tcW w:w="2660" w:type="dxa"/>
            <w:shd w:val="clear" w:color="auto" w:fill="ACB9CA" w:themeFill="text2" w:themeFillTint="66"/>
          </w:tcPr>
          <w:p w14:paraId="4450EA3F" w14:textId="2C9B52E7" w:rsidR="005F4B5F" w:rsidRPr="00F352D3" w:rsidRDefault="004943F8" w:rsidP="00D41212">
            <w:pPr>
              <w:spacing w:before="100" w:beforeAutospacing="1" w:after="100" w:afterAutospacing="1"/>
              <w:jc w:val="center"/>
              <w:rPr>
                <w:rFonts w:ascii="Verdana" w:hAnsi="Verdana"/>
                <w:b/>
                <w:u w:val="single"/>
              </w:rPr>
            </w:pPr>
            <w:r>
              <w:rPr>
                <w:rFonts w:ascii="Verdana" w:hAnsi="Verdana"/>
                <w:b/>
                <w:u w:val="single"/>
              </w:rPr>
              <w:t xml:space="preserve">ACTUACIÓN </w:t>
            </w:r>
            <w:r>
              <w:rPr>
                <w:rFonts w:ascii="Verdana" w:hAnsi="Verdana"/>
                <w:b/>
                <w:u w:val="single"/>
              </w:rPr>
              <w:t>1</w:t>
            </w:r>
          </w:p>
        </w:tc>
        <w:tc>
          <w:tcPr>
            <w:tcW w:w="2268" w:type="dxa"/>
            <w:shd w:val="clear" w:color="auto" w:fill="ACB9CA" w:themeFill="text2" w:themeFillTint="66"/>
          </w:tcPr>
          <w:p w14:paraId="6F37465B" w14:textId="77777777" w:rsidR="005F4B5F" w:rsidRPr="00F352D3" w:rsidRDefault="005F4B5F" w:rsidP="00D41212">
            <w:pPr>
              <w:spacing w:before="100" w:beforeAutospacing="1" w:after="100" w:afterAutospacing="1"/>
              <w:jc w:val="center"/>
              <w:rPr>
                <w:rFonts w:ascii="Verdana" w:hAnsi="Verdana"/>
                <w:b/>
                <w:u w:val="single"/>
              </w:rPr>
            </w:pPr>
            <w:r w:rsidRPr="00F352D3">
              <w:rPr>
                <w:rFonts w:ascii="Verdana" w:hAnsi="Verdana"/>
                <w:b/>
                <w:u w:val="single"/>
              </w:rPr>
              <w:t>IMPORTE SIN IVA</w:t>
            </w:r>
          </w:p>
        </w:tc>
        <w:tc>
          <w:tcPr>
            <w:tcW w:w="2268" w:type="dxa"/>
            <w:shd w:val="clear" w:color="auto" w:fill="ACB9CA" w:themeFill="text2" w:themeFillTint="66"/>
          </w:tcPr>
          <w:p w14:paraId="3692F83C" w14:textId="77777777" w:rsidR="005F4B5F" w:rsidRPr="00F352D3" w:rsidRDefault="005F4B5F" w:rsidP="00D41212">
            <w:pPr>
              <w:spacing w:before="100" w:beforeAutospacing="1" w:after="100" w:afterAutospacing="1"/>
              <w:jc w:val="center"/>
              <w:rPr>
                <w:rFonts w:ascii="Verdana" w:hAnsi="Verdana"/>
                <w:b/>
                <w:u w:val="single"/>
              </w:rPr>
            </w:pPr>
            <w:r w:rsidRPr="00F352D3">
              <w:rPr>
                <w:rFonts w:ascii="Verdana" w:hAnsi="Verdana"/>
                <w:b/>
                <w:u w:val="single"/>
              </w:rPr>
              <w:t>IMPORTE DE IVA</w:t>
            </w:r>
          </w:p>
        </w:tc>
        <w:tc>
          <w:tcPr>
            <w:tcW w:w="1769" w:type="dxa"/>
            <w:shd w:val="clear" w:color="auto" w:fill="ACB9CA" w:themeFill="text2" w:themeFillTint="66"/>
          </w:tcPr>
          <w:p w14:paraId="3F49F448" w14:textId="77777777" w:rsidR="005F4B5F" w:rsidRPr="00F352D3" w:rsidRDefault="005F4B5F" w:rsidP="00D41212">
            <w:pPr>
              <w:spacing w:before="100" w:beforeAutospacing="1" w:after="100" w:afterAutospacing="1"/>
              <w:jc w:val="center"/>
              <w:rPr>
                <w:rFonts w:ascii="Verdana" w:hAnsi="Verdana"/>
                <w:b/>
                <w:u w:val="single"/>
              </w:rPr>
            </w:pPr>
            <w:r w:rsidRPr="00F352D3">
              <w:rPr>
                <w:rFonts w:ascii="Verdana" w:hAnsi="Verdana"/>
                <w:b/>
                <w:u w:val="single"/>
              </w:rPr>
              <w:t>TOTAL</w:t>
            </w:r>
          </w:p>
        </w:tc>
      </w:tr>
      <w:tr w:rsidR="005F4B5F" w:rsidRPr="00F352D3" w14:paraId="1F7568BE" w14:textId="77777777" w:rsidTr="00D41212">
        <w:tc>
          <w:tcPr>
            <w:tcW w:w="2660" w:type="dxa"/>
            <w:vAlign w:val="center"/>
          </w:tcPr>
          <w:p w14:paraId="4B77B013" w14:textId="499CAAF7" w:rsidR="005F4B5F" w:rsidRPr="00F352D3" w:rsidRDefault="005F4B5F" w:rsidP="00D41212">
            <w:pPr>
              <w:spacing w:before="100" w:beforeAutospacing="1" w:after="100" w:afterAutospacing="1"/>
              <w:jc w:val="center"/>
              <w:rPr>
                <w:rFonts w:ascii="Verdana" w:hAnsi="Verdana"/>
                <w:color w:val="272923"/>
              </w:rPr>
            </w:pPr>
            <w:r w:rsidRPr="00F352D3">
              <w:rPr>
                <w:rFonts w:ascii="Verdana" w:hAnsi="Verdana"/>
                <w:color w:val="272923"/>
              </w:rPr>
              <w:t xml:space="preserve">1- </w:t>
            </w:r>
            <w:r w:rsidR="003543E6">
              <w:rPr>
                <w:rFonts w:ascii="Verdana" w:hAnsi="Verdana"/>
                <w:color w:val="272923"/>
              </w:rPr>
              <w:t>Renovación de la Plaza del Frontón de Matalobos del Páramo.</w:t>
            </w:r>
          </w:p>
        </w:tc>
        <w:tc>
          <w:tcPr>
            <w:tcW w:w="2268" w:type="dxa"/>
            <w:vAlign w:val="center"/>
          </w:tcPr>
          <w:p w14:paraId="49AAAE5B" w14:textId="73C8BE3D" w:rsidR="005F4B5F" w:rsidRPr="00F352D3" w:rsidRDefault="003543E6" w:rsidP="001C2570">
            <w:pPr>
              <w:spacing w:before="100" w:beforeAutospacing="1" w:after="100" w:afterAutospacing="1"/>
              <w:jc w:val="center"/>
              <w:rPr>
                <w:rFonts w:ascii="Verdana" w:hAnsi="Verdana"/>
                <w:color w:val="272923"/>
              </w:rPr>
            </w:pPr>
            <w:r>
              <w:rPr>
                <w:rFonts w:ascii="Verdana" w:hAnsi="Verdana"/>
                <w:color w:val="272923"/>
              </w:rPr>
              <w:t>20.806,61</w:t>
            </w:r>
            <w:r w:rsidR="005F4B5F" w:rsidRPr="00F352D3">
              <w:rPr>
                <w:rFonts w:ascii="Verdana" w:hAnsi="Verdana"/>
                <w:color w:val="272923"/>
              </w:rPr>
              <w:t xml:space="preserve"> €</w:t>
            </w:r>
          </w:p>
        </w:tc>
        <w:tc>
          <w:tcPr>
            <w:tcW w:w="2268" w:type="dxa"/>
            <w:vAlign w:val="center"/>
          </w:tcPr>
          <w:p w14:paraId="33EFB0A7" w14:textId="33E4191E" w:rsidR="005F4B5F" w:rsidRPr="00F352D3" w:rsidRDefault="003543E6" w:rsidP="00D41212">
            <w:pPr>
              <w:spacing w:before="100" w:beforeAutospacing="1" w:after="100" w:afterAutospacing="1"/>
              <w:jc w:val="center"/>
              <w:rPr>
                <w:rFonts w:ascii="Verdana" w:hAnsi="Verdana"/>
                <w:color w:val="272923"/>
              </w:rPr>
            </w:pPr>
            <w:r>
              <w:rPr>
                <w:rFonts w:ascii="Verdana" w:hAnsi="Verdana"/>
                <w:color w:val="272923"/>
              </w:rPr>
              <w:t>4.369,39</w:t>
            </w:r>
            <w:r w:rsidR="00093F16">
              <w:rPr>
                <w:rFonts w:ascii="Verdana" w:hAnsi="Verdana"/>
                <w:color w:val="272923"/>
              </w:rPr>
              <w:t xml:space="preserve"> €</w:t>
            </w:r>
          </w:p>
        </w:tc>
        <w:tc>
          <w:tcPr>
            <w:tcW w:w="1769" w:type="dxa"/>
            <w:vAlign w:val="center"/>
          </w:tcPr>
          <w:p w14:paraId="0D58B71C" w14:textId="60FD45AA" w:rsidR="005F4B5F" w:rsidRPr="00F352D3" w:rsidRDefault="003543E6" w:rsidP="00D41212">
            <w:pPr>
              <w:spacing w:before="100" w:beforeAutospacing="1" w:after="100" w:afterAutospacing="1"/>
              <w:jc w:val="center"/>
              <w:rPr>
                <w:rFonts w:ascii="Verdana" w:hAnsi="Verdana"/>
                <w:color w:val="272923"/>
              </w:rPr>
            </w:pPr>
            <w:r>
              <w:rPr>
                <w:rFonts w:ascii="Verdana" w:eastAsiaTheme="minorHAnsi" w:hAnsi="Verdana" w:cstheme="minorBidi"/>
                <w:lang w:eastAsia="en-US"/>
              </w:rPr>
              <w:t>25.176,00</w:t>
            </w:r>
            <w:r w:rsidR="00093F16">
              <w:rPr>
                <w:rFonts w:ascii="Verdana" w:eastAsiaTheme="minorHAnsi" w:hAnsi="Verdana" w:cstheme="minorBidi"/>
                <w:lang w:eastAsia="en-US"/>
              </w:rPr>
              <w:t xml:space="preserve"> </w:t>
            </w:r>
            <w:r w:rsidR="005F4B5F" w:rsidRPr="00F352D3">
              <w:rPr>
                <w:rFonts w:ascii="Verdana" w:hAnsi="Verdana"/>
                <w:color w:val="272923"/>
              </w:rPr>
              <w:t>€</w:t>
            </w:r>
          </w:p>
        </w:tc>
      </w:tr>
    </w:tbl>
    <w:p w14:paraId="76400402" w14:textId="77777777" w:rsidR="005F4B5F" w:rsidRPr="00F352D3" w:rsidRDefault="005F4B5F" w:rsidP="005F4B5F">
      <w:pPr>
        <w:spacing w:before="100" w:beforeAutospacing="1" w:after="100" w:afterAutospacing="1"/>
        <w:rPr>
          <w:rFonts w:ascii="Verdana" w:hAnsi="Verdana"/>
          <w:b/>
          <w:color w:val="272923"/>
          <w:u w:val="single"/>
        </w:rPr>
      </w:pPr>
      <w:r w:rsidRPr="00F352D3">
        <w:rPr>
          <w:rFonts w:ascii="Verdana" w:hAnsi="Verdana"/>
          <w:b/>
          <w:color w:val="272923"/>
          <w:u w:val="single"/>
        </w:rPr>
        <w:t>OFERTA A PRESENTAR:</w:t>
      </w:r>
    </w:p>
    <w:tbl>
      <w:tblPr>
        <w:tblStyle w:val="Tablaconcuadrcula6"/>
        <w:tblW w:w="0" w:type="auto"/>
        <w:tblLook w:val="04A0" w:firstRow="1" w:lastRow="0" w:firstColumn="1" w:lastColumn="0" w:noHBand="0" w:noVBand="1"/>
      </w:tblPr>
      <w:tblGrid>
        <w:gridCol w:w="2509"/>
        <w:gridCol w:w="2155"/>
        <w:gridCol w:w="2155"/>
        <w:gridCol w:w="1675"/>
      </w:tblGrid>
      <w:tr w:rsidR="005F4B5F" w:rsidRPr="00F352D3" w14:paraId="0B1BB958" w14:textId="77777777" w:rsidTr="00D41212">
        <w:tc>
          <w:tcPr>
            <w:tcW w:w="2509" w:type="dxa"/>
            <w:shd w:val="clear" w:color="auto" w:fill="ACB9CA" w:themeFill="text2" w:themeFillTint="66"/>
          </w:tcPr>
          <w:p w14:paraId="10E6A968" w14:textId="388441F4" w:rsidR="005F4B5F" w:rsidRPr="00F352D3" w:rsidRDefault="004943F8" w:rsidP="00D41212">
            <w:pPr>
              <w:spacing w:before="100" w:beforeAutospacing="1" w:after="100" w:afterAutospacing="1"/>
              <w:jc w:val="center"/>
              <w:rPr>
                <w:rFonts w:ascii="Verdana" w:hAnsi="Verdana"/>
                <w:b/>
                <w:u w:val="single"/>
              </w:rPr>
            </w:pPr>
            <w:r>
              <w:rPr>
                <w:rFonts w:ascii="Verdana" w:hAnsi="Verdana"/>
                <w:b/>
                <w:u w:val="single"/>
              </w:rPr>
              <w:t xml:space="preserve">ACTUACIÓN </w:t>
            </w:r>
            <w:r>
              <w:rPr>
                <w:rFonts w:ascii="Verdana" w:hAnsi="Verdana"/>
                <w:b/>
                <w:u w:val="single"/>
              </w:rPr>
              <w:t>1</w:t>
            </w:r>
          </w:p>
        </w:tc>
        <w:tc>
          <w:tcPr>
            <w:tcW w:w="2155" w:type="dxa"/>
            <w:shd w:val="clear" w:color="auto" w:fill="ACB9CA" w:themeFill="text2" w:themeFillTint="66"/>
          </w:tcPr>
          <w:p w14:paraId="7BFDA4D0" w14:textId="77777777" w:rsidR="005F4B5F" w:rsidRPr="00F352D3" w:rsidRDefault="005F4B5F" w:rsidP="00D41212">
            <w:pPr>
              <w:spacing w:before="100" w:beforeAutospacing="1" w:after="100" w:afterAutospacing="1"/>
              <w:jc w:val="center"/>
              <w:rPr>
                <w:rFonts w:ascii="Verdana" w:hAnsi="Verdana"/>
                <w:b/>
                <w:u w:val="single"/>
              </w:rPr>
            </w:pPr>
            <w:r w:rsidRPr="00F352D3">
              <w:rPr>
                <w:rFonts w:ascii="Verdana" w:hAnsi="Verdana"/>
                <w:b/>
                <w:u w:val="single"/>
              </w:rPr>
              <w:t>IMPORTE SIN IVA</w:t>
            </w:r>
          </w:p>
        </w:tc>
        <w:tc>
          <w:tcPr>
            <w:tcW w:w="2155" w:type="dxa"/>
            <w:shd w:val="clear" w:color="auto" w:fill="ACB9CA" w:themeFill="text2" w:themeFillTint="66"/>
          </w:tcPr>
          <w:p w14:paraId="4CA8BBF1" w14:textId="77777777" w:rsidR="005F4B5F" w:rsidRPr="00F352D3" w:rsidRDefault="005F4B5F" w:rsidP="00D41212">
            <w:pPr>
              <w:spacing w:before="100" w:beforeAutospacing="1" w:after="100" w:afterAutospacing="1"/>
              <w:jc w:val="center"/>
              <w:rPr>
                <w:rFonts w:ascii="Verdana" w:hAnsi="Verdana"/>
                <w:b/>
                <w:u w:val="single"/>
              </w:rPr>
            </w:pPr>
            <w:r w:rsidRPr="00F352D3">
              <w:rPr>
                <w:rFonts w:ascii="Verdana" w:hAnsi="Verdana"/>
                <w:b/>
                <w:u w:val="single"/>
              </w:rPr>
              <w:t>IMPORTE DE IVA</w:t>
            </w:r>
          </w:p>
        </w:tc>
        <w:tc>
          <w:tcPr>
            <w:tcW w:w="1675" w:type="dxa"/>
            <w:shd w:val="clear" w:color="auto" w:fill="ACB9CA" w:themeFill="text2" w:themeFillTint="66"/>
          </w:tcPr>
          <w:p w14:paraId="003EFA7A" w14:textId="77777777" w:rsidR="005F4B5F" w:rsidRPr="00F352D3" w:rsidRDefault="005F4B5F" w:rsidP="00D41212">
            <w:pPr>
              <w:spacing w:before="100" w:beforeAutospacing="1" w:after="100" w:afterAutospacing="1"/>
              <w:jc w:val="center"/>
              <w:rPr>
                <w:rFonts w:ascii="Verdana" w:hAnsi="Verdana"/>
                <w:b/>
                <w:u w:val="single"/>
              </w:rPr>
            </w:pPr>
            <w:r w:rsidRPr="00F352D3">
              <w:rPr>
                <w:rFonts w:ascii="Verdana" w:hAnsi="Verdana"/>
                <w:b/>
                <w:u w:val="single"/>
              </w:rPr>
              <w:t>TOTAL</w:t>
            </w:r>
          </w:p>
        </w:tc>
      </w:tr>
      <w:tr w:rsidR="005F4B5F" w:rsidRPr="00F352D3" w14:paraId="084E26C2" w14:textId="77777777" w:rsidTr="00D41212">
        <w:tc>
          <w:tcPr>
            <w:tcW w:w="2509" w:type="dxa"/>
            <w:vAlign w:val="center"/>
          </w:tcPr>
          <w:p w14:paraId="41A22017" w14:textId="19328110" w:rsidR="005F4B5F" w:rsidRPr="00F352D3" w:rsidRDefault="003543E6" w:rsidP="00D41212">
            <w:pPr>
              <w:spacing w:before="100" w:beforeAutospacing="1" w:after="100" w:afterAutospacing="1"/>
              <w:jc w:val="center"/>
              <w:rPr>
                <w:rFonts w:ascii="Verdana" w:hAnsi="Verdana"/>
                <w:color w:val="272923"/>
              </w:rPr>
            </w:pPr>
            <w:r w:rsidRPr="00F352D3">
              <w:rPr>
                <w:rFonts w:ascii="Verdana" w:hAnsi="Verdana"/>
                <w:color w:val="272923"/>
              </w:rPr>
              <w:t xml:space="preserve">1- </w:t>
            </w:r>
            <w:r>
              <w:rPr>
                <w:rFonts w:ascii="Verdana" w:hAnsi="Verdana"/>
                <w:color w:val="272923"/>
              </w:rPr>
              <w:t>Renovación de la Plaza del Frontón de Matalobos del Páramo.</w:t>
            </w:r>
          </w:p>
        </w:tc>
        <w:tc>
          <w:tcPr>
            <w:tcW w:w="2155" w:type="dxa"/>
            <w:vAlign w:val="center"/>
          </w:tcPr>
          <w:p w14:paraId="03B5E047" w14:textId="77777777" w:rsidR="005F4B5F" w:rsidRPr="00F352D3" w:rsidRDefault="005F4B5F" w:rsidP="00D41212">
            <w:pPr>
              <w:spacing w:before="100" w:beforeAutospacing="1" w:after="100" w:afterAutospacing="1"/>
              <w:jc w:val="center"/>
              <w:rPr>
                <w:rFonts w:ascii="Verdana" w:hAnsi="Verdana"/>
                <w:color w:val="272923"/>
              </w:rPr>
            </w:pPr>
          </w:p>
        </w:tc>
        <w:tc>
          <w:tcPr>
            <w:tcW w:w="2155" w:type="dxa"/>
            <w:vAlign w:val="center"/>
          </w:tcPr>
          <w:p w14:paraId="7369A462" w14:textId="77777777" w:rsidR="005F4B5F" w:rsidRPr="00F352D3" w:rsidRDefault="005F4B5F" w:rsidP="00D41212">
            <w:pPr>
              <w:spacing w:before="100" w:beforeAutospacing="1" w:after="100" w:afterAutospacing="1"/>
              <w:jc w:val="center"/>
              <w:rPr>
                <w:rFonts w:ascii="Verdana" w:hAnsi="Verdana"/>
                <w:color w:val="272923"/>
              </w:rPr>
            </w:pPr>
          </w:p>
        </w:tc>
        <w:tc>
          <w:tcPr>
            <w:tcW w:w="1675" w:type="dxa"/>
            <w:vAlign w:val="center"/>
          </w:tcPr>
          <w:p w14:paraId="36D44454" w14:textId="77777777" w:rsidR="005F4B5F" w:rsidRPr="00F352D3" w:rsidRDefault="005F4B5F" w:rsidP="00D41212">
            <w:pPr>
              <w:spacing w:before="100" w:beforeAutospacing="1" w:after="100" w:afterAutospacing="1"/>
              <w:jc w:val="center"/>
              <w:rPr>
                <w:rFonts w:ascii="Verdana" w:hAnsi="Verdana"/>
                <w:color w:val="272923"/>
              </w:rPr>
            </w:pPr>
          </w:p>
        </w:tc>
      </w:tr>
      <w:bookmarkEnd w:id="3"/>
    </w:tbl>
    <w:p w14:paraId="39318498" w14:textId="77777777" w:rsidR="005F4B5F" w:rsidRDefault="005F4B5F" w:rsidP="005F4B5F">
      <w:pPr>
        <w:rPr>
          <w:rFonts w:ascii="Tahoma" w:hAnsi="Tahoma"/>
        </w:rPr>
      </w:pPr>
    </w:p>
    <w:p w14:paraId="11D3F93A" w14:textId="77777777" w:rsidR="00215939" w:rsidRDefault="00215939" w:rsidP="00215939">
      <w:pPr>
        <w:spacing w:before="100" w:beforeAutospacing="1"/>
        <w:jc w:val="both"/>
        <w:rPr>
          <w:rFonts w:ascii="Verdana" w:hAnsi="Verdana"/>
          <w:color w:val="272923"/>
        </w:rPr>
      </w:pPr>
      <w:r>
        <w:rPr>
          <w:rFonts w:ascii="Verdana" w:hAnsi="Verdana"/>
          <w:color w:val="272923"/>
        </w:rPr>
        <w:t xml:space="preserve">        En ___________</w:t>
      </w:r>
      <w:r w:rsidRPr="00F352D3">
        <w:rPr>
          <w:rFonts w:ascii="Verdana" w:hAnsi="Verdana"/>
          <w:color w:val="272923"/>
        </w:rPr>
        <w:t>____ a ____ de ______________de 202</w:t>
      </w:r>
      <w:r>
        <w:rPr>
          <w:rFonts w:ascii="Verdana" w:hAnsi="Verdana"/>
          <w:color w:val="272923"/>
        </w:rPr>
        <w:t>6</w:t>
      </w:r>
    </w:p>
    <w:p w14:paraId="0C0CF084" w14:textId="77777777" w:rsidR="00215939" w:rsidRPr="00F352D3" w:rsidRDefault="00215939" w:rsidP="00215939">
      <w:pPr>
        <w:spacing w:before="100" w:beforeAutospacing="1"/>
        <w:ind w:left="2124" w:firstLine="708"/>
        <w:jc w:val="both"/>
        <w:rPr>
          <w:rFonts w:ascii="Verdana" w:hAnsi="Verdana"/>
          <w:color w:val="272923"/>
        </w:rPr>
      </w:pPr>
      <w:r w:rsidRPr="00F352D3">
        <w:rPr>
          <w:rFonts w:ascii="Verdana" w:hAnsi="Verdana"/>
          <w:color w:val="272923"/>
        </w:rPr>
        <w:t>Fdo. _______________</w:t>
      </w:r>
    </w:p>
    <w:p w14:paraId="3BB883D3" w14:textId="77777777" w:rsidR="00A65699" w:rsidRDefault="00A65699"/>
    <w:sectPr w:rsidR="00A65699" w:rsidSect="00ED64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ransit521 BT">
    <w:altName w:val="Cambria"/>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169"/>
    <w:multiLevelType w:val="hybridMultilevel"/>
    <w:tmpl w:val="1EACF3AC"/>
    <w:styleLink w:val="Estiloimportado9"/>
    <w:lvl w:ilvl="0" w:tplc="D1B83594">
      <w:start w:val="1"/>
      <w:numFmt w:val="bullet"/>
      <w:lvlText w:val="-"/>
      <w:lvlJc w:val="left"/>
      <w:pPr>
        <w:ind w:left="851"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BE8699AC">
      <w:start w:val="1"/>
      <w:numFmt w:val="bullet"/>
      <w:lvlText w:val="o"/>
      <w:lvlJc w:val="left"/>
      <w:pPr>
        <w:tabs>
          <w:tab w:val="left" w:pos="851"/>
        </w:tabs>
        <w:ind w:left="1571"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D8E2105C">
      <w:start w:val="1"/>
      <w:numFmt w:val="bullet"/>
      <w:lvlText w:val="▪"/>
      <w:lvlJc w:val="left"/>
      <w:pPr>
        <w:tabs>
          <w:tab w:val="left" w:pos="851"/>
        </w:tabs>
        <w:ind w:left="2291"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D5C8058E">
      <w:start w:val="1"/>
      <w:numFmt w:val="bullet"/>
      <w:lvlText w:val="•"/>
      <w:lvlJc w:val="left"/>
      <w:pPr>
        <w:tabs>
          <w:tab w:val="left" w:pos="851"/>
        </w:tabs>
        <w:ind w:left="3011"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96D88A14">
      <w:start w:val="1"/>
      <w:numFmt w:val="bullet"/>
      <w:lvlText w:val="o"/>
      <w:lvlJc w:val="left"/>
      <w:pPr>
        <w:tabs>
          <w:tab w:val="left" w:pos="851"/>
        </w:tabs>
        <w:ind w:left="3731"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87D43AD6">
      <w:start w:val="1"/>
      <w:numFmt w:val="bullet"/>
      <w:lvlText w:val="▪"/>
      <w:lvlJc w:val="left"/>
      <w:pPr>
        <w:tabs>
          <w:tab w:val="left" w:pos="851"/>
        </w:tabs>
        <w:ind w:left="4451"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C962176">
      <w:start w:val="1"/>
      <w:numFmt w:val="bullet"/>
      <w:lvlText w:val="•"/>
      <w:lvlJc w:val="left"/>
      <w:pPr>
        <w:tabs>
          <w:tab w:val="left" w:pos="851"/>
        </w:tabs>
        <w:ind w:left="5171"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2C32F2D0">
      <w:start w:val="1"/>
      <w:numFmt w:val="bullet"/>
      <w:lvlText w:val="o"/>
      <w:lvlJc w:val="left"/>
      <w:pPr>
        <w:tabs>
          <w:tab w:val="left" w:pos="851"/>
        </w:tabs>
        <w:ind w:left="5891"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B01A7138">
      <w:start w:val="1"/>
      <w:numFmt w:val="bullet"/>
      <w:lvlText w:val="▪"/>
      <w:lvlJc w:val="left"/>
      <w:pPr>
        <w:tabs>
          <w:tab w:val="left" w:pos="851"/>
        </w:tabs>
        <w:ind w:left="6611" w:hanging="28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 w15:restartNumberingAfterBreak="0">
    <w:nsid w:val="0639599A"/>
    <w:multiLevelType w:val="hybridMultilevel"/>
    <w:tmpl w:val="6C624940"/>
    <w:styleLink w:val="Estiloimportado5"/>
    <w:lvl w:ilvl="0" w:tplc="7D30033E">
      <w:start w:val="1"/>
      <w:numFmt w:val="upp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1" w:tplc="BB4A7D42">
      <w:start w:val="1"/>
      <w:numFmt w:val="decimal"/>
      <w:lvlText w:val="%2."/>
      <w:lvlJc w:val="left"/>
      <w:pPr>
        <w:ind w:left="663" w:hanging="360"/>
      </w:pPr>
      <w:rPr>
        <w:rFonts w:hAnsi="Arial Unicode MS"/>
        <w:caps w:val="0"/>
        <w:smallCaps w:val="0"/>
        <w:strike w:val="0"/>
        <w:dstrike w:val="0"/>
        <w:color w:val="000000"/>
        <w:spacing w:val="0"/>
        <w:w w:val="100"/>
        <w:kern w:val="0"/>
        <w:position w:val="0"/>
        <w:highlight w:val="none"/>
        <w:vertAlign w:val="baseline"/>
      </w:rPr>
    </w:lvl>
    <w:lvl w:ilvl="2" w:tplc="EAB4889C">
      <w:start w:val="1"/>
      <w:numFmt w:val="lowerLetter"/>
      <w:lvlText w:val="%3."/>
      <w:lvlJc w:val="left"/>
      <w:pPr>
        <w:ind w:left="1563" w:hanging="1137"/>
      </w:pPr>
      <w:rPr>
        <w:rFonts w:hAnsi="Arial Unicode MS"/>
        <w:caps w:val="0"/>
        <w:smallCaps w:val="0"/>
        <w:strike w:val="0"/>
        <w:dstrike w:val="0"/>
        <w:color w:val="000000"/>
        <w:spacing w:val="0"/>
        <w:w w:val="100"/>
        <w:kern w:val="0"/>
        <w:position w:val="0"/>
        <w:highlight w:val="none"/>
        <w:vertAlign w:val="baseline"/>
      </w:rPr>
    </w:lvl>
    <w:lvl w:ilvl="3" w:tplc="4F6A0CDC">
      <w:start w:val="1"/>
      <w:numFmt w:val="decimal"/>
      <w:lvlText w:val="%4."/>
      <w:lvlJc w:val="left"/>
      <w:pPr>
        <w:ind w:left="2103" w:hanging="1137"/>
      </w:pPr>
      <w:rPr>
        <w:rFonts w:hAnsi="Arial Unicode MS"/>
        <w:caps w:val="0"/>
        <w:smallCaps w:val="0"/>
        <w:strike w:val="0"/>
        <w:dstrike w:val="0"/>
        <w:color w:val="000000"/>
        <w:spacing w:val="0"/>
        <w:w w:val="100"/>
        <w:kern w:val="0"/>
        <w:position w:val="0"/>
        <w:highlight w:val="none"/>
        <w:vertAlign w:val="baseline"/>
      </w:rPr>
    </w:lvl>
    <w:lvl w:ilvl="4" w:tplc="D0B2F032">
      <w:start w:val="1"/>
      <w:numFmt w:val="lowerLetter"/>
      <w:lvlText w:val="%5."/>
      <w:lvlJc w:val="left"/>
      <w:pPr>
        <w:ind w:left="2823" w:hanging="1137"/>
      </w:pPr>
      <w:rPr>
        <w:rFonts w:hAnsi="Arial Unicode MS"/>
        <w:caps w:val="0"/>
        <w:smallCaps w:val="0"/>
        <w:strike w:val="0"/>
        <w:dstrike w:val="0"/>
        <w:color w:val="000000"/>
        <w:spacing w:val="0"/>
        <w:w w:val="100"/>
        <w:kern w:val="0"/>
        <w:position w:val="0"/>
        <w:highlight w:val="none"/>
        <w:vertAlign w:val="baseline"/>
      </w:rPr>
    </w:lvl>
    <w:lvl w:ilvl="5" w:tplc="65BAFDF4">
      <w:start w:val="1"/>
      <w:numFmt w:val="lowerRoman"/>
      <w:lvlText w:val="%6."/>
      <w:lvlJc w:val="left"/>
      <w:pPr>
        <w:ind w:left="3543" w:hanging="1061"/>
      </w:pPr>
      <w:rPr>
        <w:rFonts w:hAnsi="Arial Unicode MS"/>
        <w:caps w:val="0"/>
        <w:smallCaps w:val="0"/>
        <w:strike w:val="0"/>
        <w:dstrike w:val="0"/>
        <w:color w:val="000000"/>
        <w:spacing w:val="0"/>
        <w:w w:val="100"/>
        <w:kern w:val="0"/>
        <w:position w:val="0"/>
        <w:highlight w:val="none"/>
        <w:vertAlign w:val="baseline"/>
      </w:rPr>
    </w:lvl>
    <w:lvl w:ilvl="6" w:tplc="41968276">
      <w:start w:val="1"/>
      <w:numFmt w:val="decimal"/>
      <w:lvlText w:val="%7."/>
      <w:lvlJc w:val="left"/>
      <w:pPr>
        <w:ind w:left="4263" w:hanging="1137"/>
      </w:pPr>
      <w:rPr>
        <w:rFonts w:hAnsi="Arial Unicode MS"/>
        <w:caps w:val="0"/>
        <w:smallCaps w:val="0"/>
        <w:strike w:val="0"/>
        <w:dstrike w:val="0"/>
        <w:color w:val="000000"/>
        <w:spacing w:val="0"/>
        <w:w w:val="100"/>
        <w:kern w:val="0"/>
        <w:position w:val="0"/>
        <w:highlight w:val="none"/>
        <w:vertAlign w:val="baseline"/>
      </w:rPr>
    </w:lvl>
    <w:lvl w:ilvl="7" w:tplc="524215D8">
      <w:start w:val="1"/>
      <w:numFmt w:val="lowerLetter"/>
      <w:lvlText w:val="%8."/>
      <w:lvlJc w:val="left"/>
      <w:pPr>
        <w:ind w:left="4983" w:hanging="1137"/>
      </w:pPr>
      <w:rPr>
        <w:rFonts w:hAnsi="Arial Unicode MS"/>
        <w:caps w:val="0"/>
        <w:smallCaps w:val="0"/>
        <w:strike w:val="0"/>
        <w:dstrike w:val="0"/>
        <w:color w:val="000000"/>
        <w:spacing w:val="0"/>
        <w:w w:val="100"/>
        <w:kern w:val="0"/>
        <w:position w:val="0"/>
        <w:highlight w:val="none"/>
        <w:vertAlign w:val="baseline"/>
      </w:rPr>
    </w:lvl>
    <w:lvl w:ilvl="8" w:tplc="7F2413EC">
      <w:start w:val="1"/>
      <w:numFmt w:val="lowerRoman"/>
      <w:lvlText w:val="%9."/>
      <w:lvlJc w:val="left"/>
      <w:pPr>
        <w:ind w:left="5703" w:hanging="1061"/>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06F936DD"/>
    <w:multiLevelType w:val="hybridMultilevel"/>
    <w:tmpl w:val="EDD6B43C"/>
    <w:lvl w:ilvl="0" w:tplc="065AFBFA">
      <w:start w:val="1"/>
      <w:numFmt w:val="upperLetter"/>
      <w:lvlText w:val="%1)"/>
      <w:lvlJc w:val="left"/>
      <w:pPr>
        <w:ind w:left="346" w:hanging="245"/>
        <w:jc w:val="left"/>
      </w:pPr>
      <w:rPr>
        <w:rFonts w:ascii="Calibri" w:eastAsia="Calibri" w:hAnsi="Calibri" w:hint="default"/>
        <w:spacing w:val="-1"/>
        <w:sz w:val="22"/>
        <w:szCs w:val="22"/>
      </w:rPr>
    </w:lvl>
    <w:lvl w:ilvl="1" w:tplc="6C1C04AC">
      <w:start w:val="1"/>
      <w:numFmt w:val="bullet"/>
      <w:lvlText w:val="•"/>
      <w:lvlJc w:val="left"/>
      <w:pPr>
        <w:ind w:left="1183" w:hanging="245"/>
      </w:pPr>
      <w:rPr>
        <w:rFonts w:hint="default"/>
      </w:rPr>
    </w:lvl>
    <w:lvl w:ilvl="2" w:tplc="88B87EB6">
      <w:start w:val="1"/>
      <w:numFmt w:val="bullet"/>
      <w:lvlText w:val="•"/>
      <w:lvlJc w:val="left"/>
      <w:pPr>
        <w:ind w:left="2021" w:hanging="245"/>
      </w:pPr>
      <w:rPr>
        <w:rFonts w:hint="default"/>
      </w:rPr>
    </w:lvl>
    <w:lvl w:ilvl="3" w:tplc="8668E250">
      <w:start w:val="1"/>
      <w:numFmt w:val="bullet"/>
      <w:lvlText w:val="•"/>
      <w:lvlJc w:val="left"/>
      <w:pPr>
        <w:ind w:left="2858" w:hanging="245"/>
      </w:pPr>
      <w:rPr>
        <w:rFonts w:hint="default"/>
      </w:rPr>
    </w:lvl>
    <w:lvl w:ilvl="4" w:tplc="D570E952">
      <w:start w:val="1"/>
      <w:numFmt w:val="bullet"/>
      <w:lvlText w:val="•"/>
      <w:lvlJc w:val="left"/>
      <w:pPr>
        <w:ind w:left="3695" w:hanging="245"/>
      </w:pPr>
      <w:rPr>
        <w:rFonts w:hint="default"/>
      </w:rPr>
    </w:lvl>
    <w:lvl w:ilvl="5" w:tplc="A9D4CF68">
      <w:start w:val="1"/>
      <w:numFmt w:val="bullet"/>
      <w:lvlText w:val="•"/>
      <w:lvlJc w:val="left"/>
      <w:pPr>
        <w:ind w:left="4533" w:hanging="245"/>
      </w:pPr>
      <w:rPr>
        <w:rFonts w:hint="default"/>
      </w:rPr>
    </w:lvl>
    <w:lvl w:ilvl="6" w:tplc="6DF61106">
      <w:start w:val="1"/>
      <w:numFmt w:val="bullet"/>
      <w:lvlText w:val="•"/>
      <w:lvlJc w:val="left"/>
      <w:pPr>
        <w:ind w:left="5370" w:hanging="245"/>
      </w:pPr>
      <w:rPr>
        <w:rFonts w:hint="default"/>
      </w:rPr>
    </w:lvl>
    <w:lvl w:ilvl="7" w:tplc="84B0C2DC">
      <w:start w:val="1"/>
      <w:numFmt w:val="bullet"/>
      <w:lvlText w:val="•"/>
      <w:lvlJc w:val="left"/>
      <w:pPr>
        <w:ind w:left="6207" w:hanging="245"/>
      </w:pPr>
      <w:rPr>
        <w:rFonts w:hint="default"/>
      </w:rPr>
    </w:lvl>
    <w:lvl w:ilvl="8" w:tplc="073E4986">
      <w:start w:val="1"/>
      <w:numFmt w:val="bullet"/>
      <w:lvlText w:val="•"/>
      <w:lvlJc w:val="left"/>
      <w:pPr>
        <w:ind w:left="7045" w:hanging="245"/>
      </w:pPr>
      <w:rPr>
        <w:rFonts w:hint="default"/>
      </w:rPr>
    </w:lvl>
  </w:abstractNum>
  <w:abstractNum w:abstractNumId="3" w15:restartNumberingAfterBreak="0">
    <w:nsid w:val="16C237F9"/>
    <w:multiLevelType w:val="hybridMultilevel"/>
    <w:tmpl w:val="25569BFA"/>
    <w:lvl w:ilvl="0" w:tplc="75D4AFD2">
      <w:start w:val="1"/>
      <w:numFmt w:val="bullet"/>
      <w:lvlText w:val="•"/>
      <w:lvlJc w:val="left"/>
      <w:pPr>
        <w:ind w:left="161" w:hanging="161"/>
      </w:pPr>
      <w:rPr>
        <w:rFonts w:ascii="Calibri" w:eastAsia="Calibri" w:hAnsi="Calibri" w:hint="default"/>
        <w:sz w:val="22"/>
        <w:szCs w:val="22"/>
      </w:rPr>
    </w:lvl>
    <w:lvl w:ilvl="1" w:tplc="B5E6E02E">
      <w:start w:val="1"/>
      <w:numFmt w:val="bullet"/>
      <w:lvlText w:val="•"/>
      <w:lvlJc w:val="left"/>
      <w:pPr>
        <w:ind w:left="1023" w:hanging="161"/>
      </w:pPr>
      <w:rPr>
        <w:rFonts w:hint="default"/>
      </w:rPr>
    </w:lvl>
    <w:lvl w:ilvl="2" w:tplc="F104C740">
      <w:start w:val="1"/>
      <w:numFmt w:val="bullet"/>
      <w:lvlText w:val="•"/>
      <w:lvlJc w:val="left"/>
      <w:pPr>
        <w:ind w:left="1885" w:hanging="161"/>
      </w:pPr>
      <w:rPr>
        <w:rFonts w:hint="default"/>
      </w:rPr>
    </w:lvl>
    <w:lvl w:ilvl="3" w:tplc="5DB08FC6">
      <w:start w:val="1"/>
      <w:numFmt w:val="bullet"/>
      <w:lvlText w:val="•"/>
      <w:lvlJc w:val="left"/>
      <w:pPr>
        <w:ind w:left="2747" w:hanging="161"/>
      </w:pPr>
      <w:rPr>
        <w:rFonts w:hint="default"/>
      </w:rPr>
    </w:lvl>
    <w:lvl w:ilvl="4" w:tplc="3960ABB2">
      <w:start w:val="1"/>
      <w:numFmt w:val="bullet"/>
      <w:lvlText w:val="•"/>
      <w:lvlJc w:val="left"/>
      <w:pPr>
        <w:ind w:left="3608" w:hanging="161"/>
      </w:pPr>
      <w:rPr>
        <w:rFonts w:hint="default"/>
      </w:rPr>
    </w:lvl>
    <w:lvl w:ilvl="5" w:tplc="7A42CB02">
      <w:start w:val="1"/>
      <w:numFmt w:val="bullet"/>
      <w:lvlText w:val="•"/>
      <w:lvlJc w:val="left"/>
      <w:pPr>
        <w:ind w:left="4470" w:hanging="161"/>
      </w:pPr>
      <w:rPr>
        <w:rFonts w:hint="default"/>
      </w:rPr>
    </w:lvl>
    <w:lvl w:ilvl="6" w:tplc="8AD24582">
      <w:start w:val="1"/>
      <w:numFmt w:val="bullet"/>
      <w:lvlText w:val="•"/>
      <w:lvlJc w:val="left"/>
      <w:pPr>
        <w:ind w:left="5332" w:hanging="161"/>
      </w:pPr>
      <w:rPr>
        <w:rFonts w:hint="default"/>
      </w:rPr>
    </w:lvl>
    <w:lvl w:ilvl="7" w:tplc="2286EBF8">
      <w:start w:val="1"/>
      <w:numFmt w:val="bullet"/>
      <w:lvlText w:val="•"/>
      <w:lvlJc w:val="left"/>
      <w:pPr>
        <w:ind w:left="6194" w:hanging="161"/>
      </w:pPr>
      <w:rPr>
        <w:rFonts w:hint="default"/>
      </w:rPr>
    </w:lvl>
    <w:lvl w:ilvl="8" w:tplc="4BAA2CE4">
      <w:start w:val="1"/>
      <w:numFmt w:val="bullet"/>
      <w:lvlText w:val="•"/>
      <w:lvlJc w:val="left"/>
      <w:pPr>
        <w:ind w:left="7056" w:hanging="161"/>
      </w:pPr>
      <w:rPr>
        <w:rFonts w:hint="default"/>
      </w:rPr>
    </w:lvl>
  </w:abstractNum>
  <w:abstractNum w:abstractNumId="4" w15:restartNumberingAfterBreak="0">
    <w:nsid w:val="177E6428"/>
    <w:multiLevelType w:val="hybridMultilevel"/>
    <w:tmpl w:val="540EF3DE"/>
    <w:styleLink w:val="Estiloimportado8"/>
    <w:lvl w:ilvl="0" w:tplc="576E7F7C">
      <w:start w:val="1"/>
      <w:numFmt w:val="bullet"/>
      <w:lvlText w:val="-"/>
      <w:lvlJc w:val="left"/>
      <w:pPr>
        <w:tabs>
          <w:tab w:val="left" w:pos="1620"/>
        </w:tabs>
        <w:ind w:left="85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3B94E9AA">
      <w:start w:val="1"/>
      <w:numFmt w:val="bullet"/>
      <w:lvlText w:val="o"/>
      <w:lvlJc w:val="left"/>
      <w:pPr>
        <w:tabs>
          <w:tab w:val="left" w:pos="851"/>
          <w:tab w:val="left" w:pos="1620"/>
        </w:tabs>
        <w:ind w:left="157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F2225E4">
      <w:start w:val="1"/>
      <w:numFmt w:val="bullet"/>
      <w:lvlText w:val="▪"/>
      <w:lvlJc w:val="left"/>
      <w:pPr>
        <w:tabs>
          <w:tab w:val="left" w:pos="851"/>
          <w:tab w:val="left" w:pos="1620"/>
        </w:tabs>
        <w:ind w:left="229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041E6282">
      <w:start w:val="1"/>
      <w:numFmt w:val="bullet"/>
      <w:lvlText w:val="•"/>
      <w:lvlJc w:val="left"/>
      <w:pPr>
        <w:tabs>
          <w:tab w:val="left" w:pos="851"/>
          <w:tab w:val="left" w:pos="1620"/>
        </w:tabs>
        <w:ind w:left="301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7D36EB94">
      <w:start w:val="1"/>
      <w:numFmt w:val="bullet"/>
      <w:lvlText w:val="o"/>
      <w:lvlJc w:val="left"/>
      <w:pPr>
        <w:tabs>
          <w:tab w:val="left" w:pos="851"/>
          <w:tab w:val="left" w:pos="1620"/>
        </w:tabs>
        <w:ind w:left="373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5546D680">
      <w:start w:val="1"/>
      <w:numFmt w:val="bullet"/>
      <w:lvlText w:val="▪"/>
      <w:lvlJc w:val="left"/>
      <w:pPr>
        <w:tabs>
          <w:tab w:val="left" w:pos="851"/>
          <w:tab w:val="left" w:pos="1620"/>
        </w:tabs>
        <w:ind w:left="445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A7120CBA">
      <w:start w:val="1"/>
      <w:numFmt w:val="bullet"/>
      <w:lvlText w:val="•"/>
      <w:lvlJc w:val="left"/>
      <w:pPr>
        <w:tabs>
          <w:tab w:val="left" w:pos="851"/>
          <w:tab w:val="left" w:pos="1620"/>
        </w:tabs>
        <w:ind w:left="517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AE126F66">
      <w:start w:val="1"/>
      <w:numFmt w:val="bullet"/>
      <w:lvlText w:val="o"/>
      <w:lvlJc w:val="left"/>
      <w:pPr>
        <w:tabs>
          <w:tab w:val="left" w:pos="851"/>
          <w:tab w:val="left" w:pos="1620"/>
        </w:tabs>
        <w:ind w:left="589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0BCCE9EC">
      <w:start w:val="1"/>
      <w:numFmt w:val="bullet"/>
      <w:lvlText w:val="▪"/>
      <w:lvlJc w:val="left"/>
      <w:pPr>
        <w:tabs>
          <w:tab w:val="left" w:pos="851"/>
          <w:tab w:val="left" w:pos="1620"/>
        </w:tabs>
        <w:ind w:left="661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199F12B6"/>
    <w:multiLevelType w:val="multilevel"/>
    <w:tmpl w:val="28A8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5E29D9"/>
    <w:multiLevelType w:val="hybridMultilevel"/>
    <w:tmpl w:val="28606540"/>
    <w:styleLink w:val="Estiloimportado7"/>
    <w:lvl w:ilvl="0" w:tplc="C1A6A68A">
      <w:start w:val="1"/>
      <w:numFmt w:val="bullet"/>
      <w:lvlText w:val="-"/>
      <w:lvlJc w:val="left"/>
      <w:pPr>
        <w:ind w:left="12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95E61B98">
      <w:start w:val="1"/>
      <w:numFmt w:val="bullet"/>
      <w:lvlText w:val="o"/>
      <w:lvlJc w:val="left"/>
      <w:pPr>
        <w:ind w:left="1988" w:hanging="15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D4BE0EEA">
      <w:start w:val="1"/>
      <w:numFmt w:val="bullet"/>
      <w:lvlText w:val="▪"/>
      <w:lvlJc w:val="left"/>
      <w:pPr>
        <w:ind w:left="2708" w:hanging="15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B647D4">
      <w:start w:val="1"/>
      <w:numFmt w:val="bullet"/>
      <w:lvlText w:val="•"/>
      <w:lvlJc w:val="left"/>
      <w:pPr>
        <w:ind w:left="3428" w:hanging="15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17E85FBE">
      <w:start w:val="1"/>
      <w:numFmt w:val="bullet"/>
      <w:lvlText w:val="o"/>
      <w:lvlJc w:val="left"/>
      <w:pPr>
        <w:ind w:left="4148" w:hanging="15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79D68618">
      <w:start w:val="1"/>
      <w:numFmt w:val="bullet"/>
      <w:lvlText w:val="▪"/>
      <w:lvlJc w:val="left"/>
      <w:pPr>
        <w:ind w:left="4868" w:hanging="15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BA7E29DE">
      <w:start w:val="1"/>
      <w:numFmt w:val="bullet"/>
      <w:lvlText w:val="•"/>
      <w:lvlJc w:val="left"/>
      <w:pPr>
        <w:ind w:left="5588" w:hanging="15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7120777E">
      <w:start w:val="1"/>
      <w:numFmt w:val="bullet"/>
      <w:lvlText w:val="o"/>
      <w:lvlJc w:val="left"/>
      <w:pPr>
        <w:ind w:left="6308" w:hanging="15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7565BF4">
      <w:start w:val="1"/>
      <w:numFmt w:val="bullet"/>
      <w:lvlText w:val="▪"/>
      <w:lvlJc w:val="left"/>
      <w:pPr>
        <w:ind w:left="7028" w:hanging="15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BC02284"/>
    <w:multiLevelType w:val="hybridMultilevel"/>
    <w:tmpl w:val="C5FAAFB8"/>
    <w:styleLink w:val="Estiloimportado4"/>
    <w:lvl w:ilvl="0" w:tplc="D6A4E7F2">
      <w:start w:val="1"/>
      <w:numFmt w:val="bullet"/>
      <w:lvlText w:val="-"/>
      <w:lvlJc w:val="left"/>
      <w:pPr>
        <w:tabs>
          <w:tab w:val="left" w:pos="1287"/>
        </w:tabs>
        <w:ind w:left="85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DD22F340">
      <w:start w:val="1"/>
      <w:numFmt w:val="bullet"/>
      <w:lvlText w:val="o"/>
      <w:lvlJc w:val="left"/>
      <w:pPr>
        <w:tabs>
          <w:tab w:val="left" w:pos="851"/>
          <w:tab w:val="left" w:pos="1287"/>
        </w:tabs>
        <w:ind w:left="157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A3D0E0D8">
      <w:start w:val="1"/>
      <w:numFmt w:val="bullet"/>
      <w:lvlText w:val="▪"/>
      <w:lvlJc w:val="left"/>
      <w:pPr>
        <w:tabs>
          <w:tab w:val="left" w:pos="851"/>
          <w:tab w:val="left" w:pos="1287"/>
        </w:tabs>
        <w:ind w:left="229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4428039E">
      <w:start w:val="1"/>
      <w:numFmt w:val="bullet"/>
      <w:lvlText w:val="•"/>
      <w:lvlJc w:val="left"/>
      <w:pPr>
        <w:tabs>
          <w:tab w:val="left" w:pos="851"/>
          <w:tab w:val="left" w:pos="1287"/>
        </w:tabs>
        <w:ind w:left="301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40DA6998">
      <w:start w:val="1"/>
      <w:numFmt w:val="bullet"/>
      <w:lvlText w:val="o"/>
      <w:lvlJc w:val="left"/>
      <w:pPr>
        <w:tabs>
          <w:tab w:val="left" w:pos="851"/>
          <w:tab w:val="left" w:pos="1287"/>
        </w:tabs>
        <w:ind w:left="373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4A7E2EAE">
      <w:start w:val="1"/>
      <w:numFmt w:val="bullet"/>
      <w:lvlText w:val="▪"/>
      <w:lvlJc w:val="left"/>
      <w:pPr>
        <w:tabs>
          <w:tab w:val="left" w:pos="851"/>
          <w:tab w:val="left" w:pos="1287"/>
        </w:tabs>
        <w:ind w:left="445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1104C96">
      <w:start w:val="1"/>
      <w:numFmt w:val="bullet"/>
      <w:lvlText w:val="•"/>
      <w:lvlJc w:val="left"/>
      <w:pPr>
        <w:tabs>
          <w:tab w:val="left" w:pos="851"/>
          <w:tab w:val="left" w:pos="1287"/>
        </w:tabs>
        <w:ind w:left="517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6EA2A608">
      <w:start w:val="1"/>
      <w:numFmt w:val="bullet"/>
      <w:lvlText w:val="o"/>
      <w:lvlJc w:val="left"/>
      <w:pPr>
        <w:tabs>
          <w:tab w:val="left" w:pos="851"/>
          <w:tab w:val="left" w:pos="1287"/>
        </w:tabs>
        <w:ind w:left="589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1AE88D9C">
      <w:start w:val="1"/>
      <w:numFmt w:val="bullet"/>
      <w:lvlText w:val="▪"/>
      <w:lvlJc w:val="left"/>
      <w:pPr>
        <w:tabs>
          <w:tab w:val="left" w:pos="851"/>
          <w:tab w:val="left" w:pos="1287"/>
        </w:tabs>
        <w:ind w:left="6611"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2C2249AD"/>
    <w:multiLevelType w:val="hybridMultilevel"/>
    <w:tmpl w:val="7974B6C8"/>
    <w:lvl w:ilvl="0" w:tplc="8D544C0E">
      <w:start w:val="6"/>
      <w:numFmt w:val="upperLetter"/>
      <w:lvlText w:val="%1)"/>
      <w:lvlJc w:val="left"/>
      <w:pPr>
        <w:ind w:left="101" w:hanging="219"/>
        <w:jc w:val="left"/>
      </w:pPr>
      <w:rPr>
        <w:rFonts w:ascii="Calibri" w:eastAsia="Calibri" w:hAnsi="Calibri" w:hint="default"/>
        <w:spacing w:val="-1"/>
        <w:sz w:val="22"/>
        <w:szCs w:val="22"/>
      </w:rPr>
    </w:lvl>
    <w:lvl w:ilvl="1" w:tplc="1F206AC0">
      <w:start w:val="1"/>
      <w:numFmt w:val="lowerLetter"/>
      <w:lvlText w:val="%2)"/>
      <w:lvlJc w:val="left"/>
      <w:pPr>
        <w:ind w:left="101" w:hanging="245"/>
        <w:jc w:val="left"/>
      </w:pPr>
      <w:rPr>
        <w:rFonts w:ascii="Calibri" w:eastAsia="Calibri" w:hAnsi="Calibri" w:hint="default"/>
        <w:spacing w:val="-1"/>
        <w:sz w:val="22"/>
        <w:szCs w:val="22"/>
      </w:rPr>
    </w:lvl>
    <w:lvl w:ilvl="2" w:tplc="D1821FBA">
      <w:start w:val="1"/>
      <w:numFmt w:val="bullet"/>
      <w:lvlText w:val="•"/>
      <w:lvlJc w:val="left"/>
      <w:pPr>
        <w:ind w:left="1059" w:hanging="245"/>
      </w:pPr>
      <w:rPr>
        <w:rFonts w:hint="default"/>
      </w:rPr>
    </w:lvl>
    <w:lvl w:ilvl="3" w:tplc="6B66907C">
      <w:start w:val="1"/>
      <w:numFmt w:val="bullet"/>
      <w:lvlText w:val="•"/>
      <w:lvlJc w:val="left"/>
      <w:pPr>
        <w:ind w:left="2016" w:hanging="245"/>
      </w:pPr>
      <w:rPr>
        <w:rFonts w:hint="default"/>
      </w:rPr>
    </w:lvl>
    <w:lvl w:ilvl="4" w:tplc="8FBEEF14">
      <w:start w:val="1"/>
      <w:numFmt w:val="bullet"/>
      <w:lvlText w:val="•"/>
      <w:lvlJc w:val="left"/>
      <w:pPr>
        <w:ind w:left="2974" w:hanging="245"/>
      </w:pPr>
      <w:rPr>
        <w:rFonts w:hint="default"/>
      </w:rPr>
    </w:lvl>
    <w:lvl w:ilvl="5" w:tplc="5EDEFFBA">
      <w:start w:val="1"/>
      <w:numFmt w:val="bullet"/>
      <w:lvlText w:val="•"/>
      <w:lvlJc w:val="left"/>
      <w:pPr>
        <w:ind w:left="3932" w:hanging="245"/>
      </w:pPr>
      <w:rPr>
        <w:rFonts w:hint="default"/>
      </w:rPr>
    </w:lvl>
    <w:lvl w:ilvl="6" w:tplc="05E2F49C">
      <w:start w:val="1"/>
      <w:numFmt w:val="bullet"/>
      <w:lvlText w:val="•"/>
      <w:lvlJc w:val="left"/>
      <w:pPr>
        <w:ind w:left="4889" w:hanging="245"/>
      </w:pPr>
      <w:rPr>
        <w:rFonts w:hint="default"/>
      </w:rPr>
    </w:lvl>
    <w:lvl w:ilvl="7" w:tplc="916C5F1E">
      <w:start w:val="1"/>
      <w:numFmt w:val="bullet"/>
      <w:lvlText w:val="•"/>
      <w:lvlJc w:val="left"/>
      <w:pPr>
        <w:ind w:left="5847" w:hanging="245"/>
      </w:pPr>
      <w:rPr>
        <w:rFonts w:hint="default"/>
      </w:rPr>
    </w:lvl>
    <w:lvl w:ilvl="8" w:tplc="65026EC6">
      <w:start w:val="1"/>
      <w:numFmt w:val="bullet"/>
      <w:lvlText w:val="•"/>
      <w:lvlJc w:val="left"/>
      <w:pPr>
        <w:ind w:left="6804" w:hanging="245"/>
      </w:pPr>
      <w:rPr>
        <w:rFonts w:hint="default"/>
      </w:rPr>
    </w:lvl>
  </w:abstractNum>
  <w:abstractNum w:abstractNumId="9" w15:restartNumberingAfterBreak="0">
    <w:nsid w:val="2D4B4FC4"/>
    <w:multiLevelType w:val="multilevel"/>
    <w:tmpl w:val="9A08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C73DD9"/>
    <w:multiLevelType w:val="multilevel"/>
    <w:tmpl w:val="E27084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4C0FAD"/>
    <w:multiLevelType w:val="hybridMultilevel"/>
    <w:tmpl w:val="2996CFC4"/>
    <w:lvl w:ilvl="0" w:tplc="4948B164">
      <w:start w:val="1"/>
      <w:numFmt w:val="bullet"/>
      <w:lvlText w:val="-"/>
      <w:lvlJc w:val="left"/>
      <w:pPr>
        <w:ind w:left="101" w:hanging="118"/>
      </w:pPr>
      <w:rPr>
        <w:rFonts w:ascii="Calibri" w:eastAsia="Calibri" w:hAnsi="Calibri" w:hint="default"/>
        <w:i/>
        <w:sz w:val="22"/>
        <w:szCs w:val="22"/>
      </w:rPr>
    </w:lvl>
    <w:lvl w:ilvl="1" w:tplc="C57E09DC">
      <w:start w:val="1"/>
      <w:numFmt w:val="bullet"/>
      <w:lvlText w:val=""/>
      <w:lvlJc w:val="left"/>
      <w:pPr>
        <w:ind w:left="821" w:hanging="360"/>
      </w:pPr>
      <w:rPr>
        <w:rFonts w:ascii="Symbol" w:eastAsia="Symbol" w:hAnsi="Symbol" w:hint="default"/>
        <w:w w:val="99"/>
        <w:sz w:val="24"/>
        <w:szCs w:val="24"/>
      </w:rPr>
    </w:lvl>
    <w:lvl w:ilvl="2" w:tplc="82C2C5EE">
      <w:start w:val="1"/>
      <w:numFmt w:val="bullet"/>
      <w:lvlText w:val="•"/>
      <w:lvlJc w:val="left"/>
      <w:pPr>
        <w:ind w:left="1699" w:hanging="360"/>
      </w:pPr>
      <w:rPr>
        <w:rFonts w:hint="default"/>
      </w:rPr>
    </w:lvl>
    <w:lvl w:ilvl="3" w:tplc="CD1677A0">
      <w:start w:val="1"/>
      <w:numFmt w:val="bullet"/>
      <w:lvlText w:val="•"/>
      <w:lvlJc w:val="left"/>
      <w:pPr>
        <w:ind w:left="2576" w:hanging="360"/>
      </w:pPr>
      <w:rPr>
        <w:rFonts w:hint="default"/>
      </w:rPr>
    </w:lvl>
    <w:lvl w:ilvl="4" w:tplc="A6C6A5A0">
      <w:start w:val="1"/>
      <w:numFmt w:val="bullet"/>
      <w:lvlText w:val="•"/>
      <w:lvlJc w:val="left"/>
      <w:pPr>
        <w:ind w:left="3454" w:hanging="360"/>
      </w:pPr>
      <w:rPr>
        <w:rFonts w:hint="default"/>
      </w:rPr>
    </w:lvl>
    <w:lvl w:ilvl="5" w:tplc="7BD6581E">
      <w:start w:val="1"/>
      <w:numFmt w:val="bullet"/>
      <w:lvlText w:val="•"/>
      <w:lvlJc w:val="left"/>
      <w:pPr>
        <w:ind w:left="4332" w:hanging="360"/>
      </w:pPr>
      <w:rPr>
        <w:rFonts w:hint="default"/>
      </w:rPr>
    </w:lvl>
    <w:lvl w:ilvl="6" w:tplc="ECBEB2F2">
      <w:start w:val="1"/>
      <w:numFmt w:val="bullet"/>
      <w:lvlText w:val="•"/>
      <w:lvlJc w:val="left"/>
      <w:pPr>
        <w:ind w:left="5209" w:hanging="360"/>
      </w:pPr>
      <w:rPr>
        <w:rFonts w:hint="default"/>
      </w:rPr>
    </w:lvl>
    <w:lvl w:ilvl="7" w:tplc="6554C600">
      <w:start w:val="1"/>
      <w:numFmt w:val="bullet"/>
      <w:lvlText w:val="•"/>
      <w:lvlJc w:val="left"/>
      <w:pPr>
        <w:ind w:left="6087" w:hanging="360"/>
      </w:pPr>
      <w:rPr>
        <w:rFonts w:hint="default"/>
      </w:rPr>
    </w:lvl>
    <w:lvl w:ilvl="8" w:tplc="A3BA9AF0">
      <w:start w:val="1"/>
      <w:numFmt w:val="bullet"/>
      <w:lvlText w:val="•"/>
      <w:lvlJc w:val="left"/>
      <w:pPr>
        <w:ind w:left="6964" w:hanging="360"/>
      </w:pPr>
      <w:rPr>
        <w:rFonts w:hint="default"/>
      </w:rPr>
    </w:lvl>
  </w:abstractNum>
  <w:abstractNum w:abstractNumId="12" w15:restartNumberingAfterBreak="0">
    <w:nsid w:val="42DD484D"/>
    <w:multiLevelType w:val="hybridMultilevel"/>
    <w:tmpl w:val="0436E2EA"/>
    <w:lvl w:ilvl="0" w:tplc="B2DC4304">
      <w:start w:val="1"/>
      <w:numFmt w:val="bullet"/>
      <w:lvlText w:val="-"/>
      <w:lvlJc w:val="left"/>
      <w:pPr>
        <w:ind w:left="101" w:hanging="118"/>
      </w:pPr>
      <w:rPr>
        <w:rFonts w:ascii="Calibri" w:eastAsia="Calibri" w:hAnsi="Calibri" w:hint="default"/>
        <w:sz w:val="22"/>
        <w:szCs w:val="22"/>
      </w:rPr>
    </w:lvl>
    <w:lvl w:ilvl="1" w:tplc="71CC2E88">
      <w:start w:val="1"/>
      <w:numFmt w:val="bullet"/>
      <w:lvlText w:val="•"/>
      <w:lvlJc w:val="left"/>
      <w:pPr>
        <w:ind w:left="963" w:hanging="118"/>
      </w:pPr>
      <w:rPr>
        <w:rFonts w:hint="default"/>
      </w:rPr>
    </w:lvl>
    <w:lvl w:ilvl="2" w:tplc="93E6729E">
      <w:start w:val="1"/>
      <w:numFmt w:val="bullet"/>
      <w:lvlText w:val="•"/>
      <w:lvlJc w:val="left"/>
      <w:pPr>
        <w:ind w:left="1825" w:hanging="118"/>
      </w:pPr>
      <w:rPr>
        <w:rFonts w:hint="default"/>
      </w:rPr>
    </w:lvl>
    <w:lvl w:ilvl="3" w:tplc="B9625F00">
      <w:start w:val="1"/>
      <w:numFmt w:val="bullet"/>
      <w:lvlText w:val="•"/>
      <w:lvlJc w:val="left"/>
      <w:pPr>
        <w:ind w:left="2687" w:hanging="118"/>
      </w:pPr>
      <w:rPr>
        <w:rFonts w:hint="default"/>
      </w:rPr>
    </w:lvl>
    <w:lvl w:ilvl="4" w:tplc="ED6C0742">
      <w:start w:val="1"/>
      <w:numFmt w:val="bullet"/>
      <w:lvlText w:val="•"/>
      <w:lvlJc w:val="left"/>
      <w:pPr>
        <w:ind w:left="3548" w:hanging="118"/>
      </w:pPr>
      <w:rPr>
        <w:rFonts w:hint="default"/>
      </w:rPr>
    </w:lvl>
    <w:lvl w:ilvl="5" w:tplc="B1E41032">
      <w:start w:val="1"/>
      <w:numFmt w:val="bullet"/>
      <w:lvlText w:val="•"/>
      <w:lvlJc w:val="left"/>
      <w:pPr>
        <w:ind w:left="4410" w:hanging="118"/>
      </w:pPr>
      <w:rPr>
        <w:rFonts w:hint="default"/>
      </w:rPr>
    </w:lvl>
    <w:lvl w:ilvl="6" w:tplc="D2825436">
      <w:start w:val="1"/>
      <w:numFmt w:val="bullet"/>
      <w:lvlText w:val="•"/>
      <w:lvlJc w:val="left"/>
      <w:pPr>
        <w:ind w:left="5272" w:hanging="118"/>
      </w:pPr>
      <w:rPr>
        <w:rFonts w:hint="default"/>
      </w:rPr>
    </w:lvl>
    <w:lvl w:ilvl="7" w:tplc="0CD0D196">
      <w:start w:val="1"/>
      <w:numFmt w:val="bullet"/>
      <w:lvlText w:val="•"/>
      <w:lvlJc w:val="left"/>
      <w:pPr>
        <w:ind w:left="6134" w:hanging="118"/>
      </w:pPr>
      <w:rPr>
        <w:rFonts w:hint="default"/>
      </w:rPr>
    </w:lvl>
    <w:lvl w:ilvl="8" w:tplc="0F9AC768">
      <w:start w:val="1"/>
      <w:numFmt w:val="bullet"/>
      <w:lvlText w:val="•"/>
      <w:lvlJc w:val="left"/>
      <w:pPr>
        <w:ind w:left="6996" w:hanging="118"/>
      </w:pPr>
      <w:rPr>
        <w:rFonts w:hint="default"/>
      </w:rPr>
    </w:lvl>
  </w:abstractNum>
  <w:abstractNum w:abstractNumId="13" w15:restartNumberingAfterBreak="0">
    <w:nsid w:val="4466509C"/>
    <w:multiLevelType w:val="hybridMultilevel"/>
    <w:tmpl w:val="89203C5A"/>
    <w:lvl w:ilvl="0" w:tplc="AF6C797C">
      <w:start w:val="1"/>
      <w:numFmt w:val="bullet"/>
      <w:lvlText w:val="-"/>
      <w:lvlJc w:val="left"/>
      <w:pPr>
        <w:ind w:left="219" w:hanging="118"/>
      </w:pPr>
      <w:rPr>
        <w:rFonts w:ascii="Calibri" w:eastAsia="Calibri" w:hAnsi="Calibri" w:hint="default"/>
        <w:sz w:val="22"/>
        <w:szCs w:val="22"/>
      </w:rPr>
    </w:lvl>
    <w:lvl w:ilvl="1" w:tplc="E58E3C0E">
      <w:start w:val="1"/>
      <w:numFmt w:val="bullet"/>
      <w:lvlText w:val="•"/>
      <w:lvlJc w:val="left"/>
      <w:pPr>
        <w:ind w:left="1069" w:hanging="118"/>
      </w:pPr>
      <w:rPr>
        <w:rFonts w:hint="default"/>
      </w:rPr>
    </w:lvl>
    <w:lvl w:ilvl="2" w:tplc="40F0C3DE">
      <w:start w:val="1"/>
      <w:numFmt w:val="bullet"/>
      <w:lvlText w:val="•"/>
      <w:lvlJc w:val="left"/>
      <w:pPr>
        <w:ind w:left="1919" w:hanging="118"/>
      </w:pPr>
      <w:rPr>
        <w:rFonts w:hint="default"/>
      </w:rPr>
    </w:lvl>
    <w:lvl w:ilvl="3" w:tplc="BD98F94C">
      <w:start w:val="1"/>
      <w:numFmt w:val="bullet"/>
      <w:lvlText w:val="•"/>
      <w:lvlJc w:val="left"/>
      <w:pPr>
        <w:ind w:left="2769" w:hanging="118"/>
      </w:pPr>
      <w:rPr>
        <w:rFonts w:hint="default"/>
      </w:rPr>
    </w:lvl>
    <w:lvl w:ilvl="4" w:tplc="89FACB92">
      <w:start w:val="1"/>
      <w:numFmt w:val="bullet"/>
      <w:lvlText w:val="•"/>
      <w:lvlJc w:val="left"/>
      <w:pPr>
        <w:ind w:left="3619" w:hanging="118"/>
      </w:pPr>
      <w:rPr>
        <w:rFonts w:hint="default"/>
      </w:rPr>
    </w:lvl>
    <w:lvl w:ilvl="5" w:tplc="29F04692">
      <w:start w:val="1"/>
      <w:numFmt w:val="bullet"/>
      <w:lvlText w:val="•"/>
      <w:lvlJc w:val="left"/>
      <w:pPr>
        <w:ind w:left="4469" w:hanging="118"/>
      </w:pPr>
      <w:rPr>
        <w:rFonts w:hint="default"/>
      </w:rPr>
    </w:lvl>
    <w:lvl w:ilvl="6" w:tplc="C16E3A26">
      <w:start w:val="1"/>
      <w:numFmt w:val="bullet"/>
      <w:lvlText w:val="•"/>
      <w:lvlJc w:val="left"/>
      <w:pPr>
        <w:ind w:left="5319" w:hanging="118"/>
      </w:pPr>
      <w:rPr>
        <w:rFonts w:hint="default"/>
      </w:rPr>
    </w:lvl>
    <w:lvl w:ilvl="7" w:tplc="390CC8B0">
      <w:start w:val="1"/>
      <w:numFmt w:val="bullet"/>
      <w:lvlText w:val="•"/>
      <w:lvlJc w:val="left"/>
      <w:pPr>
        <w:ind w:left="6169" w:hanging="118"/>
      </w:pPr>
      <w:rPr>
        <w:rFonts w:hint="default"/>
      </w:rPr>
    </w:lvl>
    <w:lvl w:ilvl="8" w:tplc="B94050B6">
      <w:start w:val="1"/>
      <w:numFmt w:val="bullet"/>
      <w:lvlText w:val="•"/>
      <w:lvlJc w:val="left"/>
      <w:pPr>
        <w:ind w:left="7019" w:hanging="118"/>
      </w:pPr>
      <w:rPr>
        <w:rFonts w:hint="default"/>
      </w:rPr>
    </w:lvl>
  </w:abstractNum>
  <w:abstractNum w:abstractNumId="14" w15:restartNumberingAfterBreak="0">
    <w:nsid w:val="4DA043E4"/>
    <w:multiLevelType w:val="hybridMultilevel"/>
    <w:tmpl w:val="A66C26EE"/>
    <w:styleLink w:val="Estiloimportado1"/>
    <w:lvl w:ilvl="0" w:tplc="C32AD100">
      <w:start w:val="1"/>
      <w:numFmt w:val="upperLetter"/>
      <w:lvlText w:val="%1."/>
      <w:lvlJc w:val="left"/>
      <w:pPr>
        <w:tabs>
          <w:tab w:val="left" w:pos="540"/>
        </w:tabs>
        <w:ind w:left="284" w:hanging="284"/>
      </w:pPr>
      <w:rPr>
        <w:rFonts w:hAnsi="Arial Unicode MS"/>
        <w:caps w:val="0"/>
        <w:smallCaps w:val="0"/>
        <w:strike w:val="0"/>
        <w:dstrike w:val="0"/>
        <w:color w:val="000000"/>
        <w:spacing w:val="0"/>
        <w:w w:val="100"/>
        <w:kern w:val="0"/>
        <w:position w:val="0"/>
        <w:highlight w:val="none"/>
        <w:vertAlign w:val="baseline"/>
      </w:rPr>
    </w:lvl>
    <w:lvl w:ilvl="1" w:tplc="88B071B8">
      <w:start w:val="1"/>
      <w:numFmt w:val="decimal"/>
      <w:lvlText w:val="%2."/>
      <w:lvlJc w:val="left"/>
      <w:pPr>
        <w:tabs>
          <w:tab w:val="left" w:pos="540"/>
        </w:tabs>
        <w:ind w:left="284" w:hanging="284"/>
      </w:pPr>
      <w:rPr>
        <w:rFonts w:hAnsi="Arial Unicode MS"/>
        <w:caps w:val="0"/>
        <w:smallCaps w:val="0"/>
        <w:strike w:val="0"/>
        <w:dstrike w:val="0"/>
        <w:color w:val="000000"/>
        <w:spacing w:val="0"/>
        <w:w w:val="100"/>
        <w:kern w:val="0"/>
        <w:position w:val="0"/>
        <w:highlight w:val="none"/>
        <w:vertAlign w:val="baseline"/>
      </w:rPr>
    </w:lvl>
    <w:lvl w:ilvl="2" w:tplc="FDB6E438">
      <w:start w:val="1"/>
      <w:numFmt w:val="lowerLetter"/>
      <w:lvlText w:val="%3."/>
      <w:lvlJc w:val="left"/>
      <w:pPr>
        <w:tabs>
          <w:tab w:val="num" w:pos="540"/>
          <w:tab w:val="left" w:pos="567"/>
          <w:tab w:val="left" w:pos="2265"/>
        </w:tabs>
        <w:ind w:left="567" w:hanging="207"/>
      </w:pPr>
      <w:rPr>
        <w:rFonts w:hAnsi="Arial Unicode MS"/>
        <w:caps w:val="0"/>
        <w:smallCaps w:val="0"/>
        <w:strike w:val="0"/>
        <w:dstrike w:val="0"/>
        <w:color w:val="000000"/>
        <w:spacing w:val="0"/>
        <w:w w:val="100"/>
        <w:kern w:val="0"/>
        <w:position w:val="0"/>
        <w:highlight w:val="none"/>
        <w:vertAlign w:val="baseline"/>
      </w:rPr>
    </w:lvl>
    <w:lvl w:ilvl="3" w:tplc="F9A83450">
      <w:start w:val="1"/>
      <w:numFmt w:val="decimal"/>
      <w:lvlText w:val="%4."/>
      <w:lvlJc w:val="left"/>
      <w:pPr>
        <w:tabs>
          <w:tab w:val="left" w:pos="540"/>
          <w:tab w:val="left" w:pos="567"/>
          <w:tab w:val="num" w:pos="1107"/>
          <w:tab w:val="left" w:pos="2265"/>
        </w:tabs>
        <w:ind w:left="1134" w:hanging="234"/>
      </w:pPr>
      <w:rPr>
        <w:rFonts w:hAnsi="Arial Unicode MS"/>
        <w:caps w:val="0"/>
        <w:smallCaps w:val="0"/>
        <w:strike w:val="0"/>
        <w:dstrike w:val="0"/>
        <w:color w:val="000000"/>
        <w:spacing w:val="0"/>
        <w:w w:val="100"/>
        <w:kern w:val="0"/>
        <w:position w:val="0"/>
        <w:highlight w:val="none"/>
        <w:vertAlign w:val="baseline"/>
      </w:rPr>
    </w:lvl>
    <w:lvl w:ilvl="4" w:tplc="661841FE">
      <w:start w:val="1"/>
      <w:numFmt w:val="lowerLetter"/>
      <w:lvlText w:val="%5."/>
      <w:lvlJc w:val="left"/>
      <w:pPr>
        <w:tabs>
          <w:tab w:val="left" w:pos="540"/>
          <w:tab w:val="left" w:pos="567"/>
          <w:tab w:val="num" w:pos="1827"/>
          <w:tab w:val="left" w:pos="2265"/>
        </w:tabs>
        <w:ind w:left="1854" w:hanging="234"/>
      </w:pPr>
      <w:rPr>
        <w:rFonts w:hAnsi="Arial Unicode MS"/>
        <w:caps w:val="0"/>
        <w:smallCaps w:val="0"/>
        <w:strike w:val="0"/>
        <w:dstrike w:val="0"/>
        <w:color w:val="000000"/>
        <w:spacing w:val="0"/>
        <w:w w:val="100"/>
        <w:kern w:val="0"/>
        <w:position w:val="0"/>
        <w:highlight w:val="none"/>
        <w:vertAlign w:val="baseline"/>
      </w:rPr>
    </w:lvl>
    <w:lvl w:ilvl="5" w:tplc="11E26B92">
      <w:start w:val="1"/>
      <w:numFmt w:val="lowerRoman"/>
      <w:lvlText w:val="%6."/>
      <w:lvlJc w:val="left"/>
      <w:pPr>
        <w:tabs>
          <w:tab w:val="left" w:pos="540"/>
          <w:tab w:val="left" w:pos="567"/>
          <w:tab w:val="left" w:pos="2265"/>
          <w:tab w:val="num" w:pos="2547"/>
        </w:tabs>
        <w:ind w:left="2574" w:hanging="158"/>
      </w:pPr>
      <w:rPr>
        <w:rFonts w:hAnsi="Arial Unicode MS"/>
        <w:caps w:val="0"/>
        <w:smallCaps w:val="0"/>
        <w:strike w:val="0"/>
        <w:dstrike w:val="0"/>
        <w:color w:val="000000"/>
        <w:spacing w:val="0"/>
        <w:w w:val="100"/>
        <w:kern w:val="0"/>
        <w:position w:val="0"/>
        <w:highlight w:val="none"/>
        <w:vertAlign w:val="baseline"/>
      </w:rPr>
    </w:lvl>
    <w:lvl w:ilvl="6" w:tplc="21122E7A">
      <w:start w:val="1"/>
      <w:numFmt w:val="decimal"/>
      <w:lvlText w:val="%7."/>
      <w:lvlJc w:val="left"/>
      <w:pPr>
        <w:tabs>
          <w:tab w:val="left" w:pos="540"/>
          <w:tab w:val="left" w:pos="567"/>
          <w:tab w:val="left" w:pos="2265"/>
          <w:tab w:val="num" w:pos="3267"/>
        </w:tabs>
        <w:ind w:left="3294" w:hanging="234"/>
      </w:pPr>
      <w:rPr>
        <w:rFonts w:hAnsi="Arial Unicode MS"/>
        <w:caps w:val="0"/>
        <w:smallCaps w:val="0"/>
        <w:strike w:val="0"/>
        <w:dstrike w:val="0"/>
        <w:color w:val="000000"/>
        <w:spacing w:val="0"/>
        <w:w w:val="100"/>
        <w:kern w:val="0"/>
        <w:position w:val="0"/>
        <w:highlight w:val="none"/>
        <w:vertAlign w:val="baseline"/>
      </w:rPr>
    </w:lvl>
    <w:lvl w:ilvl="7" w:tplc="8B1C4D90">
      <w:start w:val="1"/>
      <w:numFmt w:val="lowerLetter"/>
      <w:lvlText w:val="%8."/>
      <w:lvlJc w:val="left"/>
      <w:pPr>
        <w:tabs>
          <w:tab w:val="left" w:pos="540"/>
          <w:tab w:val="left" w:pos="567"/>
          <w:tab w:val="left" w:pos="2265"/>
          <w:tab w:val="num" w:pos="3987"/>
        </w:tabs>
        <w:ind w:left="4014" w:hanging="234"/>
      </w:pPr>
      <w:rPr>
        <w:rFonts w:hAnsi="Arial Unicode MS"/>
        <w:caps w:val="0"/>
        <w:smallCaps w:val="0"/>
        <w:strike w:val="0"/>
        <w:dstrike w:val="0"/>
        <w:color w:val="000000"/>
        <w:spacing w:val="0"/>
        <w:w w:val="100"/>
        <w:kern w:val="0"/>
        <w:position w:val="0"/>
        <w:highlight w:val="none"/>
        <w:vertAlign w:val="baseline"/>
      </w:rPr>
    </w:lvl>
    <w:lvl w:ilvl="8" w:tplc="09D215B6">
      <w:start w:val="1"/>
      <w:numFmt w:val="lowerRoman"/>
      <w:lvlText w:val="%9."/>
      <w:lvlJc w:val="left"/>
      <w:pPr>
        <w:tabs>
          <w:tab w:val="left" w:pos="540"/>
          <w:tab w:val="left" w:pos="567"/>
          <w:tab w:val="left" w:pos="2265"/>
          <w:tab w:val="num" w:pos="4707"/>
        </w:tabs>
        <w:ind w:left="4734" w:hanging="158"/>
      </w:pPr>
      <w:rPr>
        <w:rFonts w:hAnsi="Arial Unicode MS"/>
        <w:caps w:val="0"/>
        <w:smallCaps w:val="0"/>
        <w:strike w:val="0"/>
        <w:dstrike w:val="0"/>
        <w:color w:val="000000"/>
        <w:spacing w:val="0"/>
        <w:w w:val="100"/>
        <w:kern w:val="0"/>
        <w:position w:val="0"/>
        <w:highlight w:val="none"/>
        <w:vertAlign w:val="baseline"/>
      </w:rPr>
    </w:lvl>
  </w:abstractNum>
  <w:abstractNum w:abstractNumId="15" w15:restartNumberingAfterBreak="0">
    <w:nsid w:val="5A3E3DBD"/>
    <w:multiLevelType w:val="multilevel"/>
    <w:tmpl w:val="A364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D66F6C"/>
    <w:multiLevelType w:val="multilevel"/>
    <w:tmpl w:val="B65A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E8630E"/>
    <w:multiLevelType w:val="hybridMultilevel"/>
    <w:tmpl w:val="AA2CC8E8"/>
    <w:lvl w:ilvl="0" w:tplc="EEC8EFF4">
      <w:start w:val="1"/>
      <w:numFmt w:val="lowerLetter"/>
      <w:lvlText w:val="%1)"/>
      <w:lvlJc w:val="left"/>
      <w:pPr>
        <w:ind w:left="101" w:hanging="238"/>
        <w:jc w:val="left"/>
      </w:pPr>
      <w:rPr>
        <w:rFonts w:ascii="Calibri" w:eastAsia="Calibri" w:hAnsi="Calibri" w:hint="default"/>
        <w:spacing w:val="-1"/>
        <w:sz w:val="22"/>
        <w:szCs w:val="22"/>
      </w:rPr>
    </w:lvl>
    <w:lvl w:ilvl="1" w:tplc="FC8C3E44">
      <w:start w:val="1"/>
      <w:numFmt w:val="bullet"/>
      <w:lvlText w:val=""/>
      <w:lvlJc w:val="left"/>
      <w:pPr>
        <w:ind w:left="821" w:hanging="360"/>
      </w:pPr>
      <w:rPr>
        <w:rFonts w:ascii="Symbol" w:eastAsia="Symbol" w:hAnsi="Symbol" w:hint="default"/>
        <w:w w:val="99"/>
        <w:sz w:val="24"/>
        <w:szCs w:val="24"/>
      </w:rPr>
    </w:lvl>
    <w:lvl w:ilvl="2" w:tplc="165AE8CC">
      <w:start w:val="1"/>
      <w:numFmt w:val="bullet"/>
      <w:lvlText w:val="•"/>
      <w:lvlJc w:val="left"/>
      <w:pPr>
        <w:ind w:left="1699" w:hanging="360"/>
      </w:pPr>
      <w:rPr>
        <w:rFonts w:hint="default"/>
      </w:rPr>
    </w:lvl>
    <w:lvl w:ilvl="3" w:tplc="5DB0B064">
      <w:start w:val="1"/>
      <w:numFmt w:val="bullet"/>
      <w:lvlText w:val="•"/>
      <w:lvlJc w:val="left"/>
      <w:pPr>
        <w:ind w:left="2576" w:hanging="360"/>
      </w:pPr>
      <w:rPr>
        <w:rFonts w:hint="default"/>
      </w:rPr>
    </w:lvl>
    <w:lvl w:ilvl="4" w:tplc="89088F16">
      <w:start w:val="1"/>
      <w:numFmt w:val="bullet"/>
      <w:lvlText w:val="•"/>
      <w:lvlJc w:val="left"/>
      <w:pPr>
        <w:ind w:left="3454" w:hanging="360"/>
      </w:pPr>
      <w:rPr>
        <w:rFonts w:hint="default"/>
      </w:rPr>
    </w:lvl>
    <w:lvl w:ilvl="5" w:tplc="D9648526">
      <w:start w:val="1"/>
      <w:numFmt w:val="bullet"/>
      <w:lvlText w:val="•"/>
      <w:lvlJc w:val="left"/>
      <w:pPr>
        <w:ind w:left="4332" w:hanging="360"/>
      </w:pPr>
      <w:rPr>
        <w:rFonts w:hint="default"/>
      </w:rPr>
    </w:lvl>
    <w:lvl w:ilvl="6" w:tplc="658AECDE">
      <w:start w:val="1"/>
      <w:numFmt w:val="bullet"/>
      <w:lvlText w:val="•"/>
      <w:lvlJc w:val="left"/>
      <w:pPr>
        <w:ind w:left="5209" w:hanging="360"/>
      </w:pPr>
      <w:rPr>
        <w:rFonts w:hint="default"/>
      </w:rPr>
    </w:lvl>
    <w:lvl w:ilvl="7" w:tplc="BF500396">
      <w:start w:val="1"/>
      <w:numFmt w:val="bullet"/>
      <w:lvlText w:val="•"/>
      <w:lvlJc w:val="left"/>
      <w:pPr>
        <w:ind w:left="6087" w:hanging="360"/>
      </w:pPr>
      <w:rPr>
        <w:rFonts w:hint="default"/>
      </w:rPr>
    </w:lvl>
    <w:lvl w:ilvl="8" w:tplc="DB0A88A0">
      <w:start w:val="1"/>
      <w:numFmt w:val="bullet"/>
      <w:lvlText w:val="•"/>
      <w:lvlJc w:val="left"/>
      <w:pPr>
        <w:ind w:left="6964" w:hanging="360"/>
      </w:pPr>
      <w:rPr>
        <w:rFonts w:hint="default"/>
      </w:rPr>
    </w:lvl>
  </w:abstractNum>
  <w:abstractNum w:abstractNumId="18" w15:restartNumberingAfterBreak="0">
    <w:nsid w:val="67475CE8"/>
    <w:multiLevelType w:val="hybridMultilevel"/>
    <w:tmpl w:val="CFBC1B20"/>
    <w:lvl w:ilvl="0" w:tplc="1A48966A">
      <w:start w:val="1"/>
      <w:numFmt w:val="lowerLetter"/>
      <w:lvlText w:val="%1)"/>
      <w:lvlJc w:val="left"/>
      <w:pPr>
        <w:ind w:left="101" w:hanging="231"/>
        <w:jc w:val="left"/>
      </w:pPr>
      <w:rPr>
        <w:rFonts w:ascii="Calibri" w:eastAsia="Calibri" w:hAnsi="Calibri" w:hint="default"/>
        <w:spacing w:val="-1"/>
        <w:sz w:val="22"/>
        <w:szCs w:val="22"/>
      </w:rPr>
    </w:lvl>
    <w:lvl w:ilvl="1" w:tplc="E76EEACC">
      <w:start w:val="1"/>
      <w:numFmt w:val="bullet"/>
      <w:lvlText w:val="•"/>
      <w:lvlJc w:val="left"/>
      <w:pPr>
        <w:ind w:left="963" w:hanging="231"/>
      </w:pPr>
      <w:rPr>
        <w:rFonts w:hint="default"/>
      </w:rPr>
    </w:lvl>
    <w:lvl w:ilvl="2" w:tplc="4C0E3144">
      <w:start w:val="1"/>
      <w:numFmt w:val="bullet"/>
      <w:lvlText w:val="•"/>
      <w:lvlJc w:val="left"/>
      <w:pPr>
        <w:ind w:left="1825" w:hanging="231"/>
      </w:pPr>
      <w:rPr>
        <w:rFonts w:hint="default"/>
      </w:rPr>
    </w:lvl>
    <w:lvl w:ilvl="3" w:tplc="8018AC4E">
      <w:start w:val="1"/>
      <w:numFmt w:val="bullet"/>
      <w:lvlText w:val="•"/>
      <w:lvlJc w:val="left"/>
      <w:pPr>
        <w:ind w:left="2687" w:hanging="231"/>
      </w:pPr>
      <w:rPr>
        <w:rFonts w:hint="default"/>
      </w:rPr>
    </w:lvl>
    <w:lvl w:ilvl="4" w:tplc="C570F954">
      <w:start w:val="1"/>
      <w:numFmt w:val="bullet"/>
      <w:lvlText w:val="•"/>
      <w:lvlJc w:val="left"/>
      <w:pPr>
        <w:ind w:left="3548" w:hanging="231"/>
      </w:pPr>
      <w:rPr>
        <w:rFonts w:hint="default"/>
      </w:rPr>
    </w:lvl>
    <w:lvl w:ilvl="5" w:tplc="A56C9B24">
      <w:start w:val="1"/>
      <w:numFmt w:val="bullet"/>
      <w:lvlText w:val="•"/>
      <w:lvlJc w:val="left"/>
      <w:pPr>
        <w:ind w:left="4410" w:hanging="231"/>
      </w:pPr>
      <w:rPr>
        <w:rFonts w:hint="default"/>
      </w:rPr>
    </w:lvl>
    <w:lvl w:ilvl="6" w:tplc="3E9AECA8">
      <w:start w:val="1"/>
      <w:numFmt w:val="bullet"/>
      <w:lvlText w:val="•"/>
      <w:lvlJc w:val="left"/>
      <w:pPr>
        <w:ind w:left="5272" w:hanging="231"/>
      </w:pPr>
      <w:rPr>
        <w:rFonts w:hint="default"/>
      </w:rPr>
    </w:lvl>
    <w:lvl w:ilvl="7" w:tplc="6AFEF372">
      <w:start w:val="1"/>
      <w:numFmt w:val="bullet"/>
      <w:lvlText w:val="•"/>
      <w:lvlJc w:val="left"/>
      <w:pPr>
        <w:ind w:left="6134" w:hanging="231"/>
      </w:pPr>
      <w:rPr>
        <w:rFonts w:hint="default"/>
      </w:rPr>
    </w:lvl>
    <w:lvl w:ilvl="8" w:tplc="E73C823A">
      <w:start w:val="1"/>
      <w:numFmt w:val="bullet"/>
      <w:lvlText w:val="•"/>
      <w:lvlJc w:val="left"/>
      <w:pPr>
        <w:ind w:left="6996" w:hanging="231"/>
      </w:pPr>
      <w:rPr>
        <w:rFonts w:hint="default"/>
      </w:rPr>
    </w:lvl>
  </w:abstractNum>
  <w:abstractNum w:abstractNumId="19" w15:restartNumberingAfterBreak="0">
    <w:nsid w:val="6AA86A3D"/>
    <w:multiLevelType w:val="hybridMultilevel"/>
    <w:tmpl w:val="001A39A2"/>
    <w:styleLink w:val="Estiloimportado6"/>
    <w:lvl w:ilvl="0" w:tplc="5658DC8C">
      <w:start w:val="1"/>
      <w:numFmt w:val="upp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7026F96E">
      <w:start w:val="1"/>
      <w:numFmt w:val="lowerLetter"/>
      <w:lvlText w:val="%2."/>
      <w:lvlJc w:val="left"/>
      <w:pPr>
        <w:ind w:left="709" w:hanging="425"/>
      </w:pPr>
      <w:rPr>
        <w:rFonts w:hAnsi="Arial Unicode MS"/>
        <w:caps w:val="0"/>
        <w:smallCaps w:val="0"/>
        <w:strike w:val="0"/>
        <w:dstrike w:val="0"/>
        <w:color w:val="000000"/>
        <w:spacing w:val="0"/>
        <w:w w:val="100"/>
        <w:kern w:val="0"/>
        <w:position w:val="0"/>
        <w:highlight w:val="none"/>
        <w:vertAlign w:val="baseline"/>
      </w:rPr>
    </w:lvl>
    <w:lvl w:ilvl="2" w:tplc="9224F9E8">
      <w:start w:val="1"/>
      <w:numFmt w:val="lowerRoman"/>
      <w:lvlText w:val="%3."/>
      <w:lvlJc w:val="left"/>
      <w:pPr>
        <w:ind w:left="1429" w:hanging="349"/>
      </w:pPr>
      <w:rPr>
        <w:rFonts w:hAnsi="Arial Unicode MS"/>
        <w:caps w:val="0"/>
        <w:smallCaps w:val="0"/>
        <w:strike w:val="0"/>
        <w:dstrike w:val="0"/>
        <w:color w:val="000000"/>
        <w:spacing w:val="0"/>
        <w:w w:val="100"/>
        <w:kern w:val="0"/>
        <w:position w:val="0"/>
        <w:highlight w:val="none"/>
        <w:vertAlign w:val="baseline"/>
      </w:rPr>
    </w:lvl>
    <w:lvl w:ilvl="3" w:tplc="D63AE8AE">
      <w:start w:val="1"/>
      <w:numFmt w:val="decimal"/>
      <w:lvlText w:val="%4."/>
      <w:lvlJc w:val="left"/>
      <w:pPr>
        <w:ind w:left="2209" w:hanging="485"/>
      </w:pPr>
      <w:rPr>
        <w:rFonts w:hAnsi="Arial Unicode MS"/>
        <w:caps w:val="0"/>
        <w:smallCaps w:val="0"/>
        <w:strike w:val="0"/>
        <w:dstrike w:val="0"/>
        <w:color w:val="000000"/>
        <w:spacing w:val="0"/>
        <w:w w:val="100"/>
        <w:kern w:val="0"/>
        <w:position w:val="0"/>
        <w:highlight w:val="none"/>
        <w:vertAlign w:val="baseline"/>
      </w:rPr>
    </w:lvl>
    <w:lvl w:ilvl="4" w:tplc="15107C1C">
      <w:start w:val="1"/>
      <w:numFmt w:val="lowerLetter"/>
      <w:lvlText w:val="%5."/>
      <w:lvlJc w:val="left"/>
      <w:pPr>
        <w:ind w:left="2869" w:hanging="425"/>
      </w:pPr>
      <w:rPr>
        <w:rFonts w:hAnsi="Arial Unicode MS"/>
        <w:caps w:val="0"/>
        <w:smallCaps w:val="0"/>
        <w:strike w:val="0"/>
        <w:dstrike w:val="0"/>
        <w:color w:val="000000"/>
        <w:spacing w:val="0"/>
        <w:w w:val="100"/>
        <w:kern w:val="0"/>
        <w:position w:val="0"/>
        <w:highlight w:val="none"/>
        <w:vertAlign w:val="baseline"/>
      </w:rPr>
    </w:lvl>
    <w:lvl w:ilvl="5" w:tplc="C17C2582">
      <w:start w:val="1"/>
      <w:numFmt w:val="lowerRoman"/>
      <w:lvlText w:val="%6."/>
      <w:lvlJc w:val="left"/>
      <w:pPr>
        <w:ind w:left="3589" w:hanging="349"/>
      </w:pPr>
      <w:rPr>
        <w:rFonts w:hAnsi="Arial Unicode MS"/>
        <w:caps w:val="0"/>
        <w:smallCaps w:val="0"/>
        <w:strike w:val="0"/>
        <w:dstrike w:val="0"/>
        <w:color w:val="000000"/>
        <w:spacing w:val="0"/>
        <w:w w:val="100"/>
        <w:kern w:val="0"/>
        <w:position w:val="0"/>
        <w:highlight w:val="none"/>
        <w:vertAlign w:val="baseline"/>
      </w:rPr>
    </w:lvl>
    <w:lvl w:ilvl="6" w:tplc="3CDC10F2">
      <w:start w:val="1"/>
      <w:numFmt w:val="decimal"/>
      <w:lvlText w:val="%7."/>
      <w:lvlJc w:val="left"/>
      <w:pPr>
        <w:ind w:left="4309" w:hanging="425"/>
      </w:pPr>
      <w:rPr>
        <w:rFonts w:hAnsi="Arial Unicode MS"/>
        <w:caps w:val="0"/>
        <w:smallCaps w:val="0"/>
        <w:strike w:val="0"/>
        <w:dstrike w:val="0"/>
        <w:color w:val="000000"/>
        <w:spacing w:val="0"/>
        <w:w w:val="100"/>
        <w:kern w:val="0"/>
        <w:position w:val="0"/>
        <w:highlight w:val="none"/>
        <w:vertAlign w:val="baseline"/>
      </w:rPr>
    </w:lvl>
    <w:lvl w:ilvl="7" w:tplc="6FC41D7E">
      <w:start w:val="1"/>
      <w:numFmt w:val="lowerLetter"/>
      <w:lvlText w:val="%8."/>
      <w:lvlJc w:val="left"/>
      <w:pPr>
        <w:ind w:left="5029" w:hanging="425"/>
      </w:pPr>
      <w:rPr>
        <w:rFonts w:hAnsi="Arial Unicode MS"/>
        <w:caps w:val="0"/>
        <w:smallCaps w:val="0"/>
        <w:strike w:val="0"/>
        <w:dstrike w:val="0"/>
        <w:color w:val="000000"/>
        <w:spacing w:val="0"/>
        <w:w w:val="100"/>
        <w:kern w:val="0"/>
        <w:position w:val="0"/>
        <w:highlight w:val="none"/>
        <w:vertAlign w:val="baseline"/>
      </w:rPr>
    </w:lvl>
    <w:lvl w:ilvl="8" w:tplc="F00A32E6">
      <w:start w:val="1"/>
      <w:numFmt w:val="lowerRoman"/>
      <w:lvlText w:val="%9."/>
      <w:lvlJc w:val="left"/>
      <w:pPr>
        <w:ind w:left="5749" w:hanging="349"/>
      </w:pPr>
      <w:rPr>
        <w:rFonts w:hAnsi="Arial Unicode MS"/>
        <w:caps w:val="0"/>
        <w:smallCaps w:val="0"/>
        <w:strike w:val="0"/>
        <w:dstrike w:val="0"/>
        <w:color w:val="000000"/>
        <w:spacing w:val="0"/>
        <w:w w:val="100"/>
        <w:kern w:val="0"/>
        <w:position w:val="0"/>
        <w:highlight w:val="none"/>
        <w:vertAlign w:val="baseline"/>
      </w:rPr>
    </w:lvl>
  </w:abstractNum>
  <w:abstractNum w:abstractNumId="20" w15:restartNumberingAfterBreak="0">
    <w:nsid w:val="77F2586D"/>
    <w:multiLevelType w:val="hybridMultilevel"/>
    <w:tmpl w:val="CF2C7D5A"/>
    <w:lvl w:ilvl="0" w:tplc="532E5F26">
      <w:numFmt w:val="bullet"/>
      <w:lvlText w:val="-"/>
      <w:lvlJc w:val="left"/>
      <w:pPr>
        <w:ind w:left="1776" w:hanging="360"/>
      </w:pPr>
      <w:rPr>
        <w:rFonts w:ascii="Times New Roman" w:eastAsia="Times New Roman" w:hAnsi="Times New Roman" w:cs="Times New Roman"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num w:numId="1">
    <w:abstractNumId w:val="14"/>
  </w:num>
  <w:num w:numId="2">
    <w:abstractNumId w:val="7"/>
  </w:num>
  <w:num w:numId="3">
    <w:abstractNumId w:val="1"/>
  </w:num>
  <w:num w:numId="4">
    <w:abstractNumId w:val="19"/>
  </w:num>
  <w:num w:numId="5">
    <w:abstractNumId w:val="6"/>
  </w:num>
  <w:num w:numId="6">
    <w:abstractNumId w:val="4"/>
  </w:num>
  <w:num w:numId="7">
    <w:abstractNumId w:val="0"/>
  </w:num>
  <w:num w:numId="8">
    <w:abstractNumId w:val="15"/>
  </w:num>
  <w:num w:numId="9">
    <w:abstractNumId w:val="10"/>
  </w:num>
  <w:num w:numId="10">
    <w:abstractNumId w:val="5"/>
  </w:num>
  <w:num w:numId="11">
    <w:abstractNumId w:val="16"/>
  </w:num>
  <w:num w:numId="12">
    <w:abstractNumId w:val="3"/>
  </w:num>
  <w:num w:numId="13">
    <w:abstractNumId w:val="13"/>
  </w:num>
  <w:num w:numId="14">
    <w:abstractNumId w:val="17"/>
  </w:num>
  <w:num w:numId="15">
    <w:abstractNumId w:val="18"/>
  </w:num>
  <w:num w:numId="16">
    <w:abstractNumId w:val="12"/>
  </w:num>
  <w:num w:numId="17">
    <w:abstractNumId w:val="11"/>
  </w:num>
  <w:num w:numId="18">
    <w:abstractNumId w:val="8"/>
  </w:num>
  <w:num w:numId="19">
    <w:abstractNumId w:val="2"/>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F4B5F"/>
    <w:rsid w:val="00093F16"/>
    <w:rsid w:val="0010603E"/>
    <w:rsid w:val="001C2570"/>
    <w:rsid w:val="001D6577"/>
    <w:rsid w:val="00215939"/>
    <w:rsid w:val="002546AC"/>
    <w:rsid w:val="00280C04"/>
    <w:rsid w:val="002F5C64"/>
    <w:rsid w:val="003543E6"/>
    <w:rsid w:val="003869BB"/>
    <w:rsid w:val="003A598F"/>
    <w:rsid w:val="003B146D"/>
    <w:rsid w:val="004943F8"/>
    <w:rsid w:val="004C32A0"/>
    <w:rsid w:val="00562EDB"/>
    <w:rsid w:val="005B07DC"/>
    <w:rsid w:val="005F4B5F"/>
    <w:rsid w:val="006368E5"/>
    <w:rsid w:val="006743F0"/>
    <w:rsid w:val="00677005"/>
    <w:rsid w:val="00692C7A"/>
    <w:rsid w:val="006E14FE"/>
    <w:rsid w:val="007D7ABB"/>
    <w:rsid w:val="0080352B"/>
    <w:rsid w:val="0087768F"/>
    <w:rsid w:val="009D74B5"/>
    <w:rsid w:val="00A47BEA"/>
    <w:rsid w:val="00A65699"/>
    <w:rsid w:val="00A944CC"/>
    <w:rsid w:val="00BA1FFA"/>
    <w:rsid w:val="00C46901"/>
    <w:rsid w:val="00D14AD2"/>
    <w:rsid w:val="00D70990"/>
    <w:rsid w:val="00E03089"/>
    <w:rsid w:val="00EB6711"/>
    <w:rsid w:val="00ED64BF"/>
    <w:rsid w:val="00F001E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B85CC"/>
  <w15:docId w15:val="{5CBCB7C8-4DA9-42C3-B925-7E61B9DC5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B5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F4B5F"/>
    <w:pPr>
      <w:keepNext/>
      <w:ind w:firstLine="283"/>
      <w:jc w:val="center"/>
      <w:outlineLvl w:val="0"/>
    </w:pPr>
    <w:rPr>
      <w:rFonts w:ascii="Tahoma" w:hAnsi="Tahoma"/>
      <w:b/>
      <w:szCs w:val="20"/>
    </w:rPr>
  </w:style>
  <w:style w:type="paragraph" w:styleId="Ttulo2">
    <w:name w:val="heading 2"/>
    <w:basedOn w:val="Normal"/>
    <w:next w:val="Normal"/>
    <w:link w:val="Ttulo2Car"/>
    <w:uiPriority w:val="9"/>
    <w:qFormat/>
    <w:rsid w:val="005F4B5F"/>
    <w:pPr>
      <w:keepNext/>
      <w:ind w:firstLine="283"/>
      <w:jc w:val="center"/>
      <w:outlineLvl w:val="1"/>
    </w:pPr>
    <w:rPr>
      <w:b/>
      <w:color w:val="00FF00"/>
      <w:szCs w:val="20"/>
    </w:rPr>
  </w:style>
  <w:style w:type="paragraph" w:styleId="Ttulo3">
    <w:name w:val="heading 3"/>
    <w:basedOn w:val="Normal"/>
    <w:next w:val="Normal"/>
    <w:link w:val="Ttulo3Car"/>
    <w:qFormat/>
    <w:rsid w:val="005F4B5F"/>
    <w:pPr>
      <w:keepNext/>
      <w:ind w:firstLine="283"/>
      <w:jc w:val="both"/>
      <w:outlineLvl w:val="2"/>
    </w:pPr>
    <w:rPr>
      <w:rFonts w:ascii="Tahoma" w:hAnsi="Tahoma"/>
      <w:szCs w:val="20"/>
    </w:rPr>
  </w:style>
  <w:style w:type="paragraph" w:styleId="Ttulo4">
    <w:name w:val="heading 4"/>
    <w:basedOn w:val="Normal"/>
    <w:next w:val="Normal"/>
    <w:link w:val="Ttulo4Car"/>
    <w:unhideWhenUsed/>
    <w:qFormat/>
    <w:rsid w:val="005F4B5F"/>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nhideWhenUsed/>
    <w:qFormat/>
    <w:rsid w:val="005F4B5F"/>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4B5F"/>
    <w:rPr>
      <w:rFonts w:ascii="Tahoma" w:eastAsia="Times New Roman" w:hAnsi="Tahoma" w:cs="Times New Roman"/>
      <w:b/>
      <w:sz w:val="24"/>
      <w:szCs w:val="20"/>
      <w:lang w:eastAsia="es-ES"/>
    </w:rPr>
  </w:style>
  <w:style w:type="character" w:customStyle="1" w:styleId="Ttulo2Car">
    <w:name w:val="Título 2 Car"/>
    <w:basedOn w:val="Fuentedeprrafopredeter"/>
    <w:link w:val="Ttulo2"/>
    <w:uiPriority w:val="9"/>
    <w:rsid w:val="005F4B5F"/>
    <w:rPr>
      <w:rFonts w:ascii="Times New Roman" w:eastAsia="Times New Roman" w:hAnsi="Times New Roman" w:cs="Times New Roman"/>
      <w:b/>
      <w:color w:val="00FF00"/>
      <w:sz w:val="24"/>
      <w:szCs w:val="20"/>
      <w:lang w:eastAsia="es-ES"/>
    </w:rPr>
  </w:style>
  <w:style w:type="character" w:customStyle="1" w:styleId="Ttulo3Car">
    <w:name w:val="Título 3 Car"/>
    <w:basedOn w:val="Fuentedeprrafopredeter"/>
    <w:link w:val="Ttulo3"/>
    <w:rsid w:val="005F4B5F"/>
    <w:rPr>
      <w:rFonts w:ascii="Tahoma" w:eastAsia="Times New Roman" w:hAnsi="Tahoma" w:cs="Times New Roman"/>
      <w:sz w:val="24"/>
      <w:szCs w:val="20"/>
      <w:lang w:eastAsia="es-ES"/>
    </w:rPr>
  </w:style>
  <w:style w:type="character" w:customStyle="1" w:styleId="Ttulo4Car">
    <w:name w:val="Título 4 Car"/>
    <w:basedOn w:val="Fuentedeprrafopredeter"/>
    <w:link w:val="Ttulo4"/>
    <w:rsid w:val="005F4B5F"/>
    <w:rPr>
      <w:rFonts w:asciiTheme="majorHAnsi" w:eastAsiaTheme="majorEastAsia" w:hAnsiTheme="majorHAnsi" w:cstheme="majorBidi"/>
      <w:i/>
      <w:iCs/>
      <w:color w:val="2F5496" w:themeColor="accent1" w:themeShade="BF"/>
      <w:sz w:val="24"/>
      <w:szCs w:val="24"/>
      <w:lang w:eastAsia="es-ES"/>
    </w:rPr>
  </w:style>
  <w:style w:type="character" w:customStyle="1" w:styleId="Ttulo5Car">
    <w:name w:val="Título 5 Car"/>
    <w:basedOn w:val="Fuentedeprrafopredeter"/>
    <w:link w:val="Ttulo5"/>
    <w:rsid w:val="005F4B5F"/>
    <w:rPr>
      <w:rFonts w:asciiTheme="majorHAnsi" w:eastAsiaTheme="majorEastAsia" w:hAnsiTheme="majorHAnsi" w:cstheme="majorBidi"/>
      <w:color w:val="2F5496" w:themeColor="accent1" w:themeShade="BF"/>
      <w:sz w:val="24"/>
      <w:szCs w:val="24"/>
      <w:lang w:eastAsia="es-ES"/>
    </w:rPr>
  </w:style>
  <w:style w:type="paragraph" w:customStyle="1" w:styleId="Textopredeterminado">
    <w:name w:val="Texto predeterminado"/>
    <w:basedOn w:val="Normal"/>
    <w:rsid w:val="005F4B5F"/>
    <w:pPr>
      <w:widowControl w:val="0"/>
    </w:pPr>
    <w:rPr>
      <w:rFonts w:ascii="Transit521 BT" w:hAnsi="Transit521 BT"/>
      <w:snapToGrid w:val="0"/>
      <w:szCs w:val="20"/>
      <w:lang w:val="es-ES_tradnl"/>
    </w:rPr>
  </w:style>
  <w:style w:type="paragraph" w:customStyle="1" w:styleId="Titcapinterior">
    <w:name w:val="Tit cap interior"/>
    <w:basedOn w:val="Normal"/>
    <w:autoRedefine/>
    <w:rsid w:val="005F4B5F"/>
    <w:pPr>
      <w:spacing w:before="100" w:after="113"/>
      <w:jc w:val="center"/>
    </w:pPr>
    <w:rPr>
      <w:rFonts w:ascii="Tahoma" w:hAnsi="Tahoma"/>
      <w:b/>
      <w:caps/>
      <w:color w:val="00FF00"/>
      <w:szCs w:val="20"/>
    </w:rPr>
  </w:style>
  <w:style w:type="paragraph" w:styleId="Sangradetextonormal">
    <w:name w:val="Body Text Indent"/>
    <w:basedOn w:val="Normal"/>
    <w:link w:val="SangradetextonormalCar"/>
    <w:rsid w:val="005F4B5F"/>
    <w:pPr>
      <w:ind w:firstLine="283"/>
      <w:jc w:val="both"/>
    </w:pPr>
    <w:rPr>
      <w:rFonts w:ascii="Tahoma" w:hAnsi="Tahoma"/>
      <w:szCs w:val="20"/>
    </w:rPr>
  </w:style>
  <w:style w:type="character" w:customStyle="1" w:styleId="SangradetextonormalCar">
    <w:name w:val="Sangría de texto normal Car"/>
    <w:basedOn w:val="Fuentedeprrafopredeter"/>
    <w:link w:val="Sangradetextonormal"/>
    <w:rsid w:val="005F4B5F"/>
    <w:rPr>
      <w:rFonts w:ascii="Tahoma" w:eastAsia="Times New Roman" w:hAnsi="Tahoma" w:cs="Times New Roman"/>
      <w:sz w:val="24"/>
      <w:szCs w:val="20"/>
      <w:lang w:eastAsia="es-ES"/>
    </w:rPr>
  </w:style>
  <w:style w:type="paragraph" w:styleId="Encabezado">
    <w:name w:val="header"/>
    <w:basedOn w:val="Normal"/>
    <w:link w:val="EncabezadoCar"/>
    <w:uiPriority w:val="99"/>
    <w:rsid w:val="005F4B5F"/>
    <w:pPr>
      <w:tabs>
        <w:tab w:val="center" w:pos="4252"/>
        <w:tab w:val="right" w:pos="8504"/>
      </w:tabs>
    </w:pPr>
    <w:rPr>
      <w:sz w:val="20"/>
      <w:szCs w:val="20"/>
    </w:rPr>
  </w:style>
  <w:style w:type="character" w:customStyle="1" w:styleId="EncabezadoCar">
    <w:name w:val="Encabezado Car"/>
    <w:basedOn w:val="Fuentedeprrafopredeter"/>
    <w:link w:val="Encabezado"/>
    <w:uiPriority w:val="99"/>
    <w:rsid w:val="005F4B5F"/>
    <w:rPr>
      <w:rFonts w:ascii="Times New Roman" w:eastAsia="Times New Roman" w:hAnsi="Times New Roman" w:cs="Times New Roman"/>
      <w:sz w:val="20"/>
      <w:szCs w:val="20"/>
      <w:lang w:eastAsia="es-ES"/>
    </w:rPr>
  </w:style>
  <w:style w:type="character" w:styleId="Nmerodepgina">
    <w:name w:val="page number"/>
    <w:basedOn w:val="Fuentedeprrafopredeter"/>
    <w:rsid w:val="005F4B5F"/>
  </w:style>
  <w:style w:type="paragraph" w:styleId="Textodeglobo">
    <w:name w:val="Balloon Text"/>
    <w:basedOn w:val="Normal"/>
    <w:link w:val="TextodegloboCar"/>
    <w:uiPriority w:val="99"/>
    <w:semiHidden/>
    <w:rsid w:val="005F4B5F"/>
    <w:rPr>
      <w:rFonts w:ascii="Tahoma" w:hAnsi="Tahoma" w:cs="Tahoma"/>
      <w:sz w:val="16"/>
      <w:szCs w:val="16"/>
    </w:rPr>
  </w:style>
  <w:style w:type="character" w:customStyle="1" w:styleId="TextodegloboCar">
    <w:name w:val="Texto de globo Car"/>
    <w:basedOn w:val="Fuentedeprrafopredeter"/>
    <w:link w:val="Textodeglobo"/>
    <w:uiPriority w:val="99"/>
    <w:semiHidden/>
    <w:rsid w:val="005F4B5F"/>
    <w:rPr>
      <w:rFonts w:ascii="Tahoma" w:eastAsia="Times New Roman" w:hAnsi="Tahoma" w:cs="Tahoma"/>
      <w:sz w:val="16"/>
      <w:szCs w:val="16"/>
      <w:lang w:eastAsia="es-ES"/>
    </w:rPr>
  </w:style>
  <w:style w:type="character" w:styleId="Textoennegrita">
    <w:name w:val="Strong"/>
    <w:basedOn w:val="Fuentedeprrafopredeter"/>
    <w:qFormat/>
    <w:rsid w:val="005F4B5F"/>
    <w:rPr>
      <w:b/>
      <w:bCs/>
    </w:rPr>
  </w:style>
  <w:style w:type="paragraph" w:styleId="Piedepgina">
    <w:name w:val="footer"/>
    <w:basedOn w:val="Normal"/>
    <w:link w:val="PiedepginaCar"/>
    <w:uiPriority w:val="99"/>
    <w:rsid w:val="005F4B5F"/>
    <w:pPr>
      <w:tabs>
        <w:tab w:val="center" w:pos="4252"/>
        <w:tab w:val="right" w:pos="8504"/>
      </w:tabs>
    </w:pPr>
  </w:style>
  <w:style w:type="character" w:customStyle="1" w:styleId="PiedepginaCar">
    <w:name w:val="Pie de página Car"/>
    <w:basedOn w:val="Fuentedeprrafopredeter"/>
    <w:link w:val="Piedepgina"/>
    <w:uiPriority w:val="99"/>
    <w:rsid w:val="005F4B5F"/>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5F4B5F"/>
  </w:style>
  <w:style w:type="paragraph" w:customStyle="1" w:styleId="articulo1">
    <w:name w:val="articulo1"/>
    <w:basedOn w:val="Normal"/>
    <w:rsid w:val="005F4B5F"/>
    <w:pPr>
      <w:spacing w:before="360" w:after="180"/>
    </w:pPr>
    <w:rPr>
      <w:b/>
      <w:bCs/>
    </w:rPr>
  </w:style>
  <w:style w:type="paragraph" w:customStyle="1" w:styleId="parrafo1">
    <w:name w:val="parrafo1"/>
    <w:basedOn w:val="Normal"/>
    <w:rsid w:val="005F4B5F"/>
    <w:pPr>
      <w:spacing w:before="180" w:after="180"/>
      <w:ind w:firstLine="360"/>
      <w:jc w:val="both"/>
    </w:pPr>
  </w:style>
  <w:style w:type="paragraph" w:customStyle="1" w:styleId="parrafo22">
    <w:name w:val="parrafo_22"/>
    <w:basedOn w:val="Normal"/>
    <w:rsid w:val="005F4B5F"/>
    <w:pPr>
      <w:spacing w:before="360" w:after="180"/>
      <w:ind w:firstLine="360"/>
      <w:jc w:val="both"/>
    </w:pPr>
  </w:style>
  <w:style w:type="character" w:styleId="Hipervnculo">
    <w:name w:val="Hyperlink"/>
    <w:basedOn w:val="Fuentedeprrafopredeter"/>
    <w:uiPriority w:val="99"/>
    <w:unhideWhenUsed/>
    <w:rsid w:val="005F4B5F"/>
    <w:rPr>
      <w:color w:val="0563C1" w:themeColor="hyperlink"/>
      <w:u w:val="single"/>
    </w:rPr>
  </w:style>
  <w:style w:type="table" w:styleId="Tablaconcuadrcula">
    <w:name w:val="Table Grid"/>
    <w:basedOn w:val="Tablanormal"/>
    <w:rsid w:val="005F4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nhideWhenUsed/>
    <w:rsid w:val="005F4B5F"/>
    <w:rPr>
      <w:rFonts w:ascii="Consolas" w:hAnsi="Consolas"/>
      <w:sz w:val="21"/>
      <w:szCs w:val="21"/>
    </w:rPr>
  </w:style>
  <w:style w:type="character" w:customStyle="1" w:styleId="TextosinformatoCar">
    <w:name w:val="Texto sin formato Car"/>
    <w:basedOn w:val="Fuentedeprrafopredeter"/>
    <w:link w:val="Textosinformato"/>
    <w:rsid w:val="005F4B5F"/>
    <w:rPr>
      <w:rFonts w:ascii="Consolas" w:eastAsia="Times New Roman" w:hAnsi="Consolas" w:cs="Times New Roman"/>
      <w:sz w:val="21"/>
      <w:szCs w:val="21"/>
      <w:lang w:eastAsia="es-ES"/>
    </w:rPr>
  </w:style>
  <w:style w:type="paragraph" w:styleId="Textoindependiente">
    <w:name w:val="Body Text"/>
    <w:basedOn w:val="Normal"/>
    <w:link w:val="TextoindependienteCar"/>
    <w:unhideWhenUsed/>
    <w:qFormat/>
    <w:rsid w:val="005F4B5F"/>
    <w:pPr>
      <w:spacing w:after="120"/>
    </w:pPr>
  </w:style>
  <w:style w:type="character" w:customStyle="1" w:styleId="TextoindependienteCar">
    <w:name w:val="Texto independiente Car"/>
    <w:basedOn w:val="Fuentedeprrafopredeter"/>
    <w:link w:val="Textoindependiente"/>
    <w:rsid w:val="005F4B5F"/>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nhideWhenUsed/>
    <w:rsid w:val="005F4B5F"/>
    <w:pPr>
      <w:spacing w:after="120" w:line="480" w:lineRule="auto"/>
    </w:pPr>
  </w:style>
  <w:style w:type="character" w:customStyle="1" w:styleId="Textoindependiente2Car">
    <w:name w:val="Texto independiente 2 Car"/>
    <w:basedOn w:val="Fuentedeprrafopredeter"/>
    <w:link w:val="Textoindependiente2"/>
    <w:rsid w:val="005F4B5F"/>
    <w:rPr>
      <w:rFonts w:ascii="Times New Roman" w:eastAsia="Times New Roman" w:hAnsi="Times New Roman" w:cs="Times New Roman"/>
      <w:sz w:val="24"/>
      <w:szCs w:val="24"/>
      <w:lang w:eastAsia="es-ES"/>
    </w:rPr>
  </w:style>
  <w:style w:type="paragraph" w:styleId="Prrafodelista">
    <w:name w:val="List Paragraph"/>
    <w:basedOn w:val="Normal"/>
    <w:uiPriority w:val="1"/>
    <w:qFormat/>
    <w:rsid w:val="005F4B5F"/>
    <w:pPr>
      <w:spacing w:after="200" w:line="276" w:lineRule="auto"/>
      <w:ind w:left="720"/>
      <w:contextualSpacing/>
      <w:jc w:val="both"/>
    </w:pPr>
    <w:rPr>
      <w:rFonts w:asciiTheme="minorHAnsi" w:eastAsiaTheme="minorHAnsi" w:hAnsiTheme="minorHAnsi" w:cstheme="minorBidi"/>
      <w:sz w:val="22"/>
      <w:szCs w:val="22"/>
      <w:lang w:eastAsia="en-US"/>
    </w:rPr>
  </w:style>
  <w:style w:type="character" w:customStyle="1" w:styleId="InitialStyle3">
    <w:name w:val="InitialStyle:3"/>
    <w:rsid w:val="005F4B5F"/>
  </w:style>
  <w:style w:type="table" w:customStyle="1" w:styleId="Tablaconcuadrcula1">
    <w:name w:val="Tabla con cuadrícula1"/>
    <w:basedOn w:val="Tablanormal"/>
    <w:next w:val="Tablaconcuadrcula"/>
    <w:uiPriority w:val="99"/>
    <w:rsid w:val="005F4B5F"/>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99"/>
    <w:rsid w:val="005F4B5F"/>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99"/>
    <w:rsid w:val="005F4B5F"/>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itialStyle">
    <w:name w:val="InitialStyle"/>
    <w:rsid w:val="005F4B5F"/>
    <w:rPr>
      <w:rFonts w:ascii="Courier New" w:hAnsi="Courier New"/>
    </w:rPr>
  </w:style>
  <w:style w:type="paragraph" w:styleId="Sangra2detindependiente">
    <w:name w:val="Body Text Indent 2"/>
    <w:basedOn w:val="Normal"/>
    <w:link w:val="Sangra2detindependienteCar"/>
    <w:unhideWhenUsed/>
    <w:rsid w:val="005F4B5F"/>
    <w:pPr>
      <w:spacing w:after="120" w:line="480" w:lineRule="auto"/>
      <w:ind w:left="283"/>
    </w:pPr>
  </w:style>
  <w:style w:type="character" w:customStyle="1" w:styleId="Sangra2detindependienteCar">
    <w:name w:val="Sangría 2 de t. independiente Car"/>
    <w:basedOn w:val="Fuentedeprrafopredeter"/>
    <w:link w:val="Sangra2detindependiente"/>
    <w:rsid w:val="005F4B5F"/>
    <w:rPr>
      <w:rFonts w:ascii="Times New Roman" w:eastAsia="Times New Roman" w:hAnsi="Times New Roman" w:cs="Times New Roman"/>
      <w:sz w:val="24"/>
      <w:szCs w:val="24"/>
      <w:lang w:eastAsia="es-ES"/>
    </w:rPr>
  </w:style>
  <w:style w:type="character" w:styleId="nfasis">
    <w:name w:val="Emphasis"/>
    <w:qFormat/>
    <w:rsid w:val="005F4B5F"/>
    <w:rPr>
      <w:i w:val="0"/>
      <w:iCs w:val="0"/>
    </w:rPr>
  </w:style>
  <w:style w:type="paragraph" w:styleId="NormalWeb">
    <w:name w:val="Normal (Web)"/>
    <w:basedOn w:val="Normal"/>
    <w:unhideWhenUsed/>
    <w:rsid w:val="005F4B5F"/>
    <w:pPr>
      <w:spacing w:before="100" w:beforeAutospacing="1" w:after="100" w:afterAutospacing="1"/>
    </w:pPr>
    <w:rPr>
      <w:sz w:val="19"/>
      <w:szCs w:val="19"/>
    </w:rPr>
  </w:style>
  <w:style w:type="paragraph" w:customStyle="1" w:styleId="d11">
    <w:name w:val="d11"/>
    <w:basedOn w:val="Normal"/>
    <w:rsid w:val="005F4B5F"/>
    <w:pPr>
      <w:spacing w:before="100" w:beforeAutospacing="1" w:after="100" w:afterAutospacing="1"/>
    </w:pPr>
    <w:rPr>
      <w:color w:val="000000"/>
      <w:sz w:val="20"/>
      <w:szCs w:val="20"/>
    </w:rPr>
  </w:style>
  <w:style w:type="character" w:customStyle="1" w:styleId="linktodoc">
    <w:name w:val="linktodoc"/>
    <w:basedOn w:val="Fuentedeprrafopredeter"/>
    <w:rsid w:val="005F4B5F"/>
  </w:style>
  <w:style w:type="character" w:styleId="CitaHTML">
    <w:name w:val="HTML Cite"/>
    <w:semiHidden/>
    <w:unhideWhenUsed/>
    <w:rsid w:val="005F4B5F"/>
    <w:rPr>
      <w:i/>
      <w:iCs/>
    </w:rPr>
  </w:style>
  <w:style w:type="character" w:customStyle="1" w:styleId="nh1">
    <w:name w:val="nh1"/>
    <w:basedOn w:val="Fuentedeprrafopredeter"/>
    <w:rsid w:val="005F4B5F"/>
  </w:style>
  <w:style w:type="character" w:customStyle="1" w:styleId="su">
    <w:name w:val="su"/>
    <w:basedOn w:val="Fuentedeprrafopredeter"/>
    <w:rsid w:val="005F4B5F"/>
  </w:style>
  <w:style w:type="paragraph" w:customStyle="1" w:styleId="d21">
    <w:name w:val="d21"/>
    <w:basedOn w:val="Normal"/>
    <w:rsid w:val="005F4B5F"/>
    <w:pPr>
      <w:spacing w:before="100" w:beforeAutospacing="1" w:after="100" w:afterAutospacing="1"/>
      <w:jc w:val="center"/>
    </w:pPr>
    <w:rPr>
      <w:color w:val="BD4139"/>
      <w:sz w:val="20"/>
      <w:szCs w:val="20"/>
    </w:rPr>
  </w:style>
  <w:style w:type="paragraph" w:customStyle="1" w:styleId="d31">
    <w:name w:val="d31"/>
    <w:basedOn w:val="Normal"/>
    <w:rsid w:val="005F4B5F"/>
    <w:pPr>
      <w:spacing w:before="100" w:beforeAutospacing="1" w:after="100" w:afterAutospacing="1"/>
      <w:jc w:val="center"/>
    </w:pPr>
    <w:rPr>
      <w:color w:val="BD4139"/>
      <w:sz w:val="20"/>
      <w:szCs w:val="20"/>
    </w:rPr>
  </w:style>
  <w:style w:type="paragraph" w:customStyle="1" w:styleId="d41">
    <w:name w:val="d41"/>
    <w:basedOn w:val="Normal"/>
    <w:rsid w:val="005F4B5F"/>
    <w:pPr>
      <w:spacing w:before="100" w:beforeAutospacing="1" w:after="100" w:afterAutospacing="1"/>
      <w:jc w:val="center"/>
    </w:pPr>
    <w:rPr>
      <w:color w:val="CCFF00"/>
      <w:sz w:val="20"/>
      <w:szCs w:val="20"/>
    </w:rPr>
  </w:style>
  <w:style w:type="paragraph" w:customStyle="1" w:styleId="d51">
    <w:name w:val="d51"/>
    <w:basedOn w:val="Normal"/>
    <w:rsid w:val="005F4B5F"/>
    <w:pPr>
      <w:spacing w:before="100" w:beforeAutospacing="1" w:after="100" w:afterAutospacing="1"/>
      <w:jc w:val="center"/>
    </w:pPr>
    <w:rPr>
      <w:color w:val="CCFF00"/>
      <w:sz w:val="20"/>
      <w:szCs w:val="20"/>
    </w:rPr>
  </w:style>
  <w:style w:type="character" w:customStyle="1" w:styleId="legis-nombre-art-tit1">
    <w:name w:val="legis-nombre-art-tit1"/>
    <w:rsid w:val="005F4B5F"/>
    <w:rPr>
      <w:i/>
      <w:iCs/>
    </w:rPr>
  </w:style>
  <w:style w:type="paragraph" w:customStyle="1" w:styleId="Textoindependiente21">
    <w:name w:val="Texto independiente 21"/>
    <w:basedOn w:val="Normal"/>
    <w:rsid w:val="005F4B5F"/>
    <w:pPr>
      <w:overflowPunct w:val="0"/>
      <w:autoSpaceDE w:val="0"/>
      <w:autoSpaceDN w:val="0"/>
      <w:adjustRightInd w:val="0"/>
      <w:jc w:val="both"/>
      <w:textAlignment w:val="baseline"/>
    </w:pPr>
    <w:rPr>
      <w:rFonts w:ascii="Arial" w:hAnsi="Arial"/>
      <w:i/>
      <w:sz w:val="22"/>
      <w:szCs w:val="20"/>
      <w:lang w:val="es-ES_tradnl"/>
    </w:rPr>
  </w:style>
  <w:style w:type="paragraph" w:styleId="Textonotapie">
    <w:name w:val="footnote text"/>
    <w:aliases w:val="fn"/>
    <w:basedOn w:val="Normal"/>
    <w:link w:val="TextonotapieCar"/>
    <w:uiPriority w:val="99"/>
    <w:rsid w:val="005F4B5F"/>
    <w:rPr>
      <w:sz w:val="20"/>
      <w:szCs w:val="20"/>
    </w:rPr>
  </w:style>
  <w:style w:type="character" w:customStyle="1" w:styleId="TextonotapieCar">
    <w:name w:val="Texto nota pie Car"/>
    <w:aliases w:val="fn Car"/>
    <w:basedOn w:val="Fuentedeprrafopredeter"/>
    <w:link w:val="Textonotapie"/>
    <w:uiPriority w:val="99"/>
    <w:rsid w:val="005F4B5F"/>
    <w:rPr>
      <w:rFonts w:ascii="Times New Roman" w:eastAsia="Times New Roman" w:hAnsi="Times New Roman" w:cs="Times New Roman"/>
      <w:sz w:val="20"/>
      <w:szCs w:val="20"/>
      <w:lang w:eastAsia="es-ES"/>
    </w:rPr>
  </w:style>
  <w:style w:type="character" w:styleId="Refdenotaalpie">
    <w:name w:val="footnote reference"/>
    <w:uiPriority w:val="99"/>
    <w:rsid w:val="005F4B5F"/>
    <w:rPr>
      <w:vertAlign w:val="superscript"/>
    </w:rPr>
  </w:style>
  <w:style w:type="paragraph" w:styleId="Textoindependiente3">
    <w:name w:val="Body Text 3"/>
    <w:basedOn w:val="Normal"/>
    <w:link w:val="Textoindependiente3Car"/>
    <w:rsid w:val="005F4B5F"/>
    <w:pPr>
      <w:spacing w:after="120"/>
    </w:pPr>
    <w:rPr>
      <w:sz w:val="16"/>
      <w:szCs w:val="16"/>
    </w:rPr>
  </w:style>
  <w:style w:type="character" w:customStyle="1" w:styleId="Textoindependiente3Car">
    <w:name w:val="Texto independiente 3 Car"/>
    <w:basedOn w:val="Fuentedeprrafopredeter"/>
    <w:link w:val="Textoindependiente3"/>
    <w:rsid w:val="005F4B5F"/>
    <w:rPr>
      <w:rFonts w:ascii="Times New Roman" w:eastAsia="Times New Roman" w:hAnsi="Times New Roman" w:cs="Times New Roman"/>
      <w:sz w:val="16"/>
      <w:szCs w:val="16"/>
    </w:rPr>
  </w:style>
  <w:style w:type="paragraph" w:styleId="Textodebloque">
    <w:name w:val="Block Text"/>
    <w:basedOn w:val="Normal"/>
    <w:semiHidden/>
    <w:rsid w:val="005F4B5F"/>
    <w:pPr>
      <w:widowControl w:val="0"/>
      <w:tabs>
        <w:tab w:val="left" w:pos="142"/>
        <w:tab w:val="left" w:pos="284"/>
        <w:tab w:val="left" w:pos="1440"/>
        <w:tab w:val="left" w:pos="2160"/>
        <w:tab w:val="left" w:pos="2880"/>
        <w:tab w:val="left" w:pos="3600"/>
        <w:tab w:val="left" w:pos="4320"/>
        <w:tab w:val="left" w:pos="4648"/>
        <w:tab w:val="left" w:pos="5040"/>
        <w:tab w:val="left" w:pos="5760"/>
        <w:tab w:val="left" w:pos="6480"/>
        <w:tab w:val="left" w:pos="7200"/>
        <w:tab w:val="left" w:pos="7920"/>
        <w:tab w:val="left" w:pos="8640"/>
      </w:tabs>
      <w:spacing w:line="360" w:lineRule="auto"/>
      <w:ind w:left="851" w:right="969"/>
      <w:jc w:val="both"/>
    </w:pPr>
    <w:rPr>
      <w:rFonts w:ascii="Arial" w:hAnsi="Arial"/>
      <w:snapToGrid w:val="0"/>
      <w:sz w:val="22"/>
      <w:szCs w:val="20"/>
      <w:lang w:val="es-ES_tradnl"/>
    </w:rPr>
  </w:style>
  <w:style w:type="paragraph" w:styleId="Sangra3detindependiente">
    <w:name w:val="Body Text Indent 3"/>
    <w:basedOn w:val="Normal"/>
    <w:link w:val="Sangra3detindependienteCar"/>
    <w:rsid w:val="005F4B5F"/>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5F4B5F"/>
    <w:rPr>
      <w:rFonts w:ascii="Times New Roman" w:eastAsia="Times New Roman" w:hAnsi="Times New Roman" w:cs="Times New Roman"/>
      <w:sz w:val="16"/>
      <w:szCs w:val="16"/>
      <w:lang w:eastAsia="es-ES"/>
    </w:rPr>
  </w:style>
  <w:style w:type="character" w:styleId="Refdecomentario">
    <w:name w:val="annotation reference"/>
    <w:uiPriority w:val="99"/>
    <w:rsid w:val="005F4B5F"/>
    <w:rPr>
      <w:sz w:val="16"/>
      <w:szCs w:val="16"/>
    </w:rPr>
  </w:style>
  <w:style w:type="paragraph" w:styleId="Textocomentario">
    <w:name w:val="annotation text"/>
    <w:basedOn w:val="Normal"/>
    <w:link w:val="TextocomentarioCar"/>
    <w:rsid w:val="005F4B5F"/>
    <w:rPr>
      <w:sz w:val="20"/>
      <w:szCs w:val="20"/>
    </w:rPr>
  </w:style>
  <w:style w:type="character" w:customStyle="1" w:styleId="TextocomentarioCar">
    <w:name w:val="Texto comentario Car"/>
    <w:basedOn w:val="Fuentedeprrafopredeter"/>
    <w:link w:val="Textocomentario"/>
    <w:rsid w:val="005F4B5F"/>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semiHidden/>
    <w:rsid w:val="005F4B5F"/>
    <w:rPr>
      <w:b/>
      <w:bCs/>
    </w:rPr>
  </w:style>
  <w:style w:type="character" w:customStyle="1" w:styleId="AsuntodelcomentarioCar">
    <w:name w:val="Asunto del comentario Car"/>
    <w:basedOn w:val="TextocomentarioCar"/>
    <w:link w:val="Asuntodelcomentario"/>
    <w:semiHidden/>
    <w:rsid w:val="005F4B5F"/>
    <w:rPr>
      <w:rFonts w:ascii="Times New Roman" w:eastAsia="Times New Roman" w:hAnsi="Times New Roman" w:cs="Times New Roman"/>
      <w:b/>
      <w:bCs/>
      <w:sz w:val="20"/>
      <w:szCs w:val="20"/>
      <w:lang w:eastAsia="es-ES"/>
    </w:rPr>
  </w:style>
  <w:style w:type="character" w:customStyle="1" w:styleId="apple-style-span">
    <w:name w:val="apple-style-span"/>
    <w:basedOn w:val="Fuentedeprrafopredeter"/>
    <w:rsid w:val="005F4B5F"/>
  </w:style>
  <w:style w:type="character" w:customStyle="1" w:styleId="texto-iddiv12">
    <w:name w:val="texto-iddiv12"/>
    <w:rsid w:val="005F4B5F"/>
    <w:rPr>
      <w:b/>
      <w:bCs/>
      <w:color w:val="417FAB"/>
    </w:rPr>
  </w:style>
  <w:style w:type="character" w:customStyle="1" w:styleId="TEXTOGENERALCar">
    <w:name w:val="_TEXTO_GENERAL Car"/>
    <w:link w:val="TEXTOGENERAL"/>
    <w:locked/>
    <w:rsid w:val="005F4B5F"/>
    <w:rPr>
      <w:rFonts w:ascii="Garamond" w:hAnsi="Garamond"/>
      <w:color w:val="000000"/>
    </w:rPr>
  </w:style>
  <w:style w:type="paragraph" w:customStyle="1" w:styleId="TEXTOGENERAL">
    <w:name w:val="_TEXTO_GENERAL"/>
    <w:basedOn w:val="Normal"/>
    <w:link w:val="TEXTOGENERALCar"/>
    <w:rsid w:val="005F4B5F"/>
    <w:pPr>
      <w:autoSpaceDE w:val="0"/>
      <w:autoSpaceDN w:val="0"/>
      <w:spacing w:before="120"/>
      <w:ind w:firstLine="284"/>
      <w:jc w:val="both"/>
    </w:pPr>
    <w:rPr>
      <w:rFonts w:ascii="Garamond" w:eastAsiaTheme="minorHAnsi" w:hAnsi="Garamond" w:cstheme="minorBidi"/>
      <w:color w:val="000000"/>
      <w:sz w:val="22"/>
      <w:szCs w:val="22"/>
      <w:lang w:eastAsia="en-US"/>
    </w:rPr>
  </w:style>
  <w:style w:type="character" w:customStyle="1" w:styleId="TextonotapieCar1">
    <w:name w:val="Texto nota pie Car1"/>
    <w:semiHidden/>
    <w:locked/>
    <w:rsid w:val="005F4B5F"/>
    <w:rPr>
      <w:rFonts w:ascii="Garamond" w:hAnsi="Garamond"/>
      <w:color w:val="000000"/>
      <w:lang w:val="es-ES" w:eastAsia="es-ES" w:bidi="ar-SA"/>
    </w:rPr>
  </w:style>
  <w:style w:type="table" w:customStyle="1" w:styleId="TableNormal">
    <w:name w:val="Table Normal"/>
    <w:uiPriority w:val="2"/>
    <w:qFormat/>
    <w:rsid w:val="005F4B5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5F4B5F"/>
    <w:pPr>
      <w:pBdr>
        <w:top w:val="nil"/>
        <w:left w:val="nil"/>
        <w:bottom w:val="nil"/>
        <w:right w:val="nil"/>
        <w:between w:val="nil"/>
        <w:bar w:val="nil"/>
      </w:pBdr>
      <w:spacing w:after="0" w:line="240" w:lineRule="auto"/>
      <w:jc w:val="both"/>
    </w:pPr>
    <w:rPr>
      <w:rFonts w:ascii="Calibri" w:eastAsia="Calibri" w:hAnsi="Calibri" w:cs="Calibri"/>
      <w:color w:val="000000"/>
      <w:u w:color="000000"/>
      <w:bdr w:val="nil"/>
      <w:lang w:val="de-DE" w:eastAsia="es-ES"/>
    </w:rPr>
  </w:style>
  <w:style w:type="numbering" w:customStyle="1" w:styleId="Estiloimportado1">
    <w:name w:val="Estilo importado 1"/>
    <w:rsid w:val="005F4B5F"/>
    <w:pPr>
      <w:numPr>
        <w:numId w:val="1"/>
      </w:numPr>
    </w:pPr>
  </w:style>
  <w:style w:type="character" w:customStyle="1" w:styleId="Ninguno">
    <w:name w:val="Ninguno"/>
    <w:rsid w:val="005F4B5F"/>
    <w:rPr>
      <w:lang w:val="de-DE"/>
    </w:rPr>
  </w:style>
  <w:style w:type="paragraph" w:customStyle="1" w:styleId="Poromisin">
    <w:name w:val="Por omisión"/>
    <w:rsid w:val="005F4B5F"/>
    <w:pPr>
      <w:pBdr>
        <w:top w:val="nil"/>
        <w:left w:val="nil"/>
        <w:bottom w:val="nil"/>
        <w:right w:val="nil"/>
        <w:between w:val="nil"/>
        <w:bar w:val="nil"/>
      </w:pBdr>
      <w:spacing w:after="0" w:line="240" w:lineRule="auto"/>
    </w:pPr>
    <w:rPr>
      <w:rFonts w:ascii="Helvetica" w:eastAsia="Helvetica" w:hAnsi="Helvetica" w:cs="Helvetica"/>
      <w:color w:val="000000"/>
      <w:bdr w:val="nil"/>
      <w:lang w:eastAsia="es-ES"/>
    </w:rPr>
  </w:style>
  <w:style w:type="numbering" w:customStyle="1" w:styleId="Estiloimportado4">
    <w:name w:val="Estilo importado 4"/>
    <w:rsid w:val="005F4B5F"/>
    <w:pPr>
      <w:numPr>
        <w:numId w:val="2"/>
      </w:numPr>
    </w:pPr>
  </w:style>
  <w:style w:type="numbering" w:customStyle="1" w:styleId="Estiloimportado5">
    <w:name w:val="Estilo importado 5"/>
    <w:rsid w:val="005F4B5F"/>
    <w:pPr>
      <w:numPr>
        <w:numId w:val="3"/>
      </w:numPr>
    </w:pPr>
  </w:style>
  <w:style w:type="numbering" w:customStyle="1" w:styleId="Estiloimportado6">
    <w:name w:val="Estilo importado 6"/>
    <w:rsid w:val="005F4B5F"/>
    <w:pPr>
      <w:numPr>
        <w:numId w:val="4"/>
      </w:numPr>
    </w:pPr>
  </w:style>
  <w:style w:type="numbering" w:customStyle="1" w:styleId="Estiloimportado7">
    <w:name w:val="Estilo importado 7"/>
    <w:rsid w:val="005F4B5F"/>
    <w:pPr>
      <w:numPr>
        <w:numId w:val="5"/>
      </w:numPr>
    </w:pPr>
  </w:style>
  <w:style w:type="numbering" w:customStyle="1" w:styleId="Estiloimportado8">
    <w:name w:val="Estilo importado 8"/>
    <w:rsid w:val="005F4B5F"/>
    <w:pPr>
      <w:numPr>
        <w:numId w:val="6"/>
      </w:numPr>
    </w:pPr>
  </w:style>
  <w:style w:type="numbering" w:customStyle="1" w:styleId="Estiloimportado9">
    <w:name w:val="Estilo importado 9"/>
    <w:rsid w:val="005F4B5F"/>
    <w:pPr>
      <w:numPr>
        <w:numId w:val="7"/>
      </w:numPr>
    </w:pPr>
  </w:style>
  <w:style w:type="character" w:customStyle="1" w:styleId="Mencinsinresolver1">
    <w:name w:val="Mención sin resolver1"/>
    <w:basedOn w:val="Fuentedeprrafopredeter"/>
    <w:uiPriority w:val="99"/>
    <w:semiHidden/>
    <w:unhideWhenUsed/>
    <w:rsid w:val="005F4B5F"/>
    <w:rPr>
      <w:color w:val="605E5C"/>
      <w:shd w:val="clear" w:color="auto" w:fill="E1DFDD"/>
    </w:rPr>
  </w:style>
  <w:style w:type="numbering" w:customStyle="1" w:styleId="Sinlista2">
    <w:name w:val="Sin lista2"/>
    <w:next w:val="Sinlista"/>
    <w:uiPriority w:val="99"/>
    <w:semiHidden/>
    <w:unhideWhenUsed/>
    <w:rsid w:val="005F4B5F"/>
  </w:style>
  <w:style w:type="table" w:customStyle="1" w:styleId="Tablaconcuadrcula4">
    <w:name w:val="Tabla con cuadrícula4"/>
    <w:basedOn w:val="Tablanormal"/>
    <w:next w:val="Tablaconcuadrcula"/>
    <w:uiPriority w:val="59"/>
    <w:rsid w:val="005F4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F4B5F"/>
    <w:pPr>
      <w:widowControl w:val="0"/>
    </w:pPr>
    <w:rPr>
      <w:rFonts w:asciiTheme="minorHAnsi" w:eastAsiaTheme="minorHAnsi" w:hAnsiTheme="minorHAnsi" w:cstheme="minorBidi"/>
      <w:sz w:val="22"/>
      <w:szCs w:val="22"/>
      <w:lang w:val="en-US" w:eastAsia="en-US"/>
    </w:rPr>
  </w:style>
  <w:style w:type="table" w:customStyle="1" w:styleId="Tablaconcuadrcula5">
    <w:name w:val="Tabla con cuadrícula5"/>
    <w:basedOn w:val="Tablanormal"/>
    <w:next w:val="Tablaconcuadrcula"/>
    <w:uiPriority w:val="39"/>
    <w:rsid w:val="005F4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5F4B5F"/>
  </w:style>
  <w:style w:type="table" w:customStyle="1" w:styleId="Tablaconcuadrcula6">
    <w:name w:val="Tabla con cuadrícula6"/>
    <w:basedOn w:val="Tablanormal"/>
    <w:next w:val="Tablaconcuadrcula"/>
    <w:uiPriority w:val="59"/>
    <w:rsid w:val="005F4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5F4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Redirection('LE0000607855_Vigente.HTML" TargetMode="External"/><Relationship Id="rId21" Type="http://schemas.openxmlformats.org/officeDocument/2006/relationships/hyperlink" Target="http://elconsultor.laley.es/Content/DocumentoRelacionadoFO.aspx?params=H4sIAAAAAAAEAGWOQQvCMAyF_03PraNODzmM6cCDCFLwKHUts1gTSTdh_16dmwrmlPe-PF6IQxOwwPpMDOaol4IGBw6VHGaucyVSj4T9FQx3XgTnoNq9mJILlUlx95wCIcykypVSWtiUQioJW6a4cbA-EV3Mqpz8CJkej570s5v-5mHrW_uWe4uNByk6jsVvbtJj9Iv_6uroLa9s60sbPTrLw_8PlxiyX_IAAAA=WKE" TargetMode="External"/><Relationship Id="rId42" Type="http://schemas.openxmlformats.org/officeDocument/2006/relationships/hyperlink" Target="javascript:Redirection('LE0000607855_Vigente.HTML" TargetMode="External"/><Relationship Id="rId47" Type="http://schemas.openxmlformats.org/officeDocument/2006/relationships/hyperlink" Target="javascript:Redirection('LE0000607855_Vigente.HTML" TargetMode="External"/><Relationship Id="rId63" Type="http://schemas.openxmlformats.org/officeDocument/2006/relationships/hyperlink" Target="javascript:Redirection('LE0000607855_Vigente.HTML" TargetMode="External"/><Relationship Id="rId68" Type="http://schemas.openxmlformats.org/officeDocument/2006/relationships/hyperlink" Target="javascript:Redirection('LE0000561075_Vigente.HTML" TargetMode="External"/><Relationship Id="rId84" Type="http://schemas.openxmlformats.org/officeDocument/2006/relationships/hyperlink" Target="javascript:Redirection('LE0000607855_Vigente.HTML" TargetMode="External"/><Relationship Id="rId89" Type="http://schemas.openxmlformats.org/officeDocument/2006/relationships/hyperlink" Target="javascript:Redirection('LE0000607855_Vigente.HTML" TargetMode="External"/><Relationship Id="rId16" Type="http://schemas.openxmlformats.org/officeDocument/2006/relationships/hyperlink" Target="javascript:Redirection('LE0000161343_Vigente.HTML');" TargetMode="External"/><Relationship Id="rId11" Type="http://schemas.openxmlformats.org/officeDocument/2006/relationships/hyperlink" Target="javascript:Redirection('LE0000607855_Vigente.HTML" TargetMode="External"/><Relationship Id="rId32" Type="http://schemas.openxmlformats.org/officeDocument/2006/relationships/hyperlink" Target="javascript:Redirection('LE0000607855_Vigente.HTML" TargetMode="External"/><Relationship Id="rId37" Type="http://schemas.openxmlformats.org/officeDocument/2006/relationships/hyperlink" Target="javascript:Redirection('LE0000607855_Vigente.HTML" TargetMode="External"/><Relationship Id="rId53" Type="http://schemas.openxmlformats.org/officeDocument/2006/relationships/hyperlink" Target="javascript:Redirection('LE0000607855_Vigente.HTML" TargetMode="External"/><Relationship Id="rId58" Type="http://schemas.openxmlformats.org/officeDocument/2006/relationships/hyperlink" Target="javascript:Redirection('LE0000607855_Vigente.HTML" TargetMode="External"/><Relationship Id="rId74" Type="http://schemas.openxmlformats.org/officeDocument/2006/relationships/hyperlink" Target="javascript:Redirection('LE0000607855_Vigente.HTML" TargetMode="External"/><Relationship Id="rId79" Type="http://schemas.openxmlformats.org/officeDocument/2006/relationships/hyperlink" Target="javascript:Redirection('LE0000607855_Vigente.HTML" TargetMode="External"/><Relationship Id="rId5" Type="http://schemas.openxmlformats.org/officeDocument/2006/relationships/hyperlink" Target="javascript:Redirection('LE0000607855_Vigente.HTML" TargetMode="External"/><Relationship Id="rId90" Type="http://schemas.openxmlformats.org/officeDocument/2006/relationships/hyperlink" Target="javascript:Redirection('LE0000607855_Vigente.HTML" TargetMode="External"/><Relationship Id="rId95" Type="http://schemas.openxmlformats.org/officeDocument/2006/relationships/hyperlink" Target="http://online.elderecho.com/seleccionProducto.do?claveCatalogo=CATPL&amp;nref=7db3db61&amp;producto_inicial=P&amp;anchor=ART.60" TargetMode="External"/><Relationship Id="rId22" Type="http://schemas.openxmlformats.org/officeDocument/2006/relationships/hyperlink" Target="javascript:Redirection('LE0000607855_Vigente.HTML" TargetMode="External"/><Relationship Id="rId27" Type="http://schemas.openxmlformats.org/officeDocument/2006/relationships/hyperlink" Target="javascript:Redirection('LE0000607855_Vigente.HTML" TargetMode="External"/><Relationship Id="rId43" Type="http://schemas.openxmlformats.org/officeDocument/2006/relationships/hyperlink" Target="javascript:Redirection('LE0000607855_Vigente.HTML" TargetMode="External"/><Relationship Id="rId48" Type="http://schemas.openxmlformats.org/officeDocument/2006/relationships/hyperlink" Target="javascript:Redirection('LE0000607855_Vigente.HTML" TargetMode="External"/><Relationship Id="rId64" Type="http://schemas.openxmlformats.org/officeDocument/2006/relationships/hyperlink" Target="javascript:Redirection('LE0000519605_Vigente.HTML');" TargetMode="External"/><Relationship Id="rId69" Type="http://schemas.openxmlformats.org/officeDocument/2006/relationships/hyperlink" Target="javascript:Redirection('LE0000607855_Vigente.HTML');" TargetMode="External"/><Relationship Id="rId80" Type="http://schemas.openxmlformats.org/officeDocument/2006/relationships/hyperlink" Target="javascript:Redirection('LE0000607855_Vigente.HTML" TargetMode="External"/><Relationship Id="rId85" Type="http://schemas.openxmlformats.org/officeDocument/2006/relationships/hyperlink" Target="javascript:Redirection('LE0000607855_Vigente.HTML" TargetMode="External"/><Relationship Id="rId3" Type="http://schemas.openxmlformats.org/officeDocument/2006/relationships/settings" Target="settings.xml"/><Relationship Id="rId12" Type="http://schemas.openxmlformats.org/officeDocument/2006/relationships/hyperlink" Target="javascript:Redirection('LE0000607855_Vigente.HTML" TargetMode="External"/><Relationship Id="rId17" Type="http://schemas.openxmlformats.org/officeDocument/2006/relationships/hyperlink" Target="javascript:Redirection('LE0000607855_Vigente.HTML');" TargetMode="External"/><Relationship Id="rId25" Type="http://schemas.openxmlformats.org/officeDocument/2006/relationships/hyperlink" Target="javascript:Redirection('LE0000607855_Vigente.HTML" TargetMode="External"/><Relationship Id="rId33" Type="http://schemas.openxmlformats.org/officeDocument/2006/relationships/hyperlink" Target="javascript:Redirection('LE0000607855_Vigente.HTML" TargetMode="External"/><Relationship Id="rId38" Type="http://schemas.openxmlformats.org/officeDocument/2006/relationships/hyperlink" Target="javascript:Redirection('LE0000607855_Vigente.HTML" TargetMode="External"/><Relationship Id="rId46" Type="http://schemas.openxmlformats.org/officeDocument/2006/relationships/hyperlink" Target="javascript:Redirection('LE0000024180_Vigente.HTML');" TargetMode="External"/><Relationship Id="rId59" Type="http://schemas.openxmlformats.org/officeDocument/2006/relationships/hyperlink" Target="javascript:Redirection('LE0000607855_Vigente.HTML');" TargetMode="External"/><Relationship Id="rId67" Type="http://schemas.openxmlformats.org/officeDocument/2006/relationships/hyperlink" Target="javascript:Redirection('LE0000607855_Vigente.HTML" TargetMode="External"/><Relationship Id="rId20" Type="http://schemas.openxmlformats.org/officeDocument/2006/relationships/hyperlink" Target="javascript:Redirection('LE0000251196_Vigente.HTML');" TargetMode="External"/><Relationship Id="rId41" Type="http://schemas.openxmlformats.org/officeDocument/2006/relationships/hyperlink" Target="javascript:Redirection('LE0000607855_Vigente.HTML" TargetMode="External"/><Relationship Id="rId54" Type="http://schemas.openxmlformats.org/officeDocument/2006/relationships/hyperlink" Target="javascript:Redirection('LE0000607855_Vigente.HTML" TargetMode="External"/><Relationship Id="rId62" Type="http://schemas.openxmlformats.org/officeDocument/2006/relationships/hyperlink" Target="javascript:Redirection('LE0000208290_Vigente.HTML" TargetMode="External"/><Relationship Id="rId70" Type="http://schemas.openxmlformats.org/officeDocument/2006/relationships/hyperlink" Target="javascript:Redirection('LE0000607855_Vigente.HTML" TargetMode="External"/><Relationship Id="rId75" Type="http://schemas.openxmlformats.org/officeDocument/2006/relationships/hyperlink" Target="javascript:Redirection('LE0000607855_Vigente.HTML" TargetMode="External"/><Relationship Id="rId83" Type="http://schemas.openxmlformats.org/officeDocument/2006/relationships/hyperlink" Target="javascript:Redirection('LE0000607855_Vigente.HTML" TargetMode="External"/><Relationship Id="rId88" Type="http://schemas.openxmlformats.org/officeDocument/2006/relationships/hyperlink" Target="javascript:Redirection('LE0000607855_Vigente.HTML" TargetMode="External"/><Relationship Id="rId91" Type="http://schemas.openxmlformats.org/officeDocument/2006/relationships/hyperlink" Target="javascript:Redirection('LE0000607855_Vigente.HTML"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javascript:Redirection('LE0000607855_Vigente.HTML" TargetMode="External"/><Relationship Id="rId15" Type="http://schemas.openxmlformats.org/officeDocument/2006/relationships/hyperlink" Target="javascript:Redirection('LE0000607855_Vigente.HTML');" TargetMode="External"/><Relationship Id="rId23" Type="http://schemas.openxmlformats.org/officeDocument/2006/relationships/hyperlink" Target="javascript:Redirection('LE0000607855_Vigente.HTML" TargetMode="External"/><Relationship Id="rId28" Type="http://schemas.openxmlformats.org/officeDocument/2006/relationships/hyperlink" Target="http://elconsultor.laley.es/Content/DocumentoRelacionadoFO.aspx?params=H4sIAAAAAAAEAGWOQQvCMAyF_03PraNODzmM6cCDCFLwKHUts1gTSTdh_16dmwrmlPe-PF6IQxOwwPpMDOaol4IGBw6VHGaucyVSj4T9FQx3XgTnoNq9mJILlUlx95wCIcykypVSWtiUQioJW6a4cbA-EV3Mqpz8CJkej570s5v-5mHrW_uWe4uNByk6jsVvbtJj9Iv_6uroLa9s60sbPTrLw_8PlxiyX_IAAAA=WKE" TargetMode="External"/><Relationship Id="rId36" Type="http://schemas.openxmlformats.org/officeDocument/2006/relationships/hyperlink" Target="javascript:Redirection('LE0000607855_Vigente.HTML" TargetMode="External"/><Relationship Id="rId49" Type="http://schemas.openxmlformats.org/officeDocument/2006/relationships/hyperlink" Target="javascript:Redirection('LE0000607855_Vigente.HTML" TargetMode="External"/><Relationship Id="rId57" Type="http://schemas.openxmlformats.org/officeDocument/2006/relationships/hyperlink" Target="javascript:Redirection('LE0000198552_Vigente.HTML');" TargetMode="External"/><Relationship Id="rId10" Type="http://schemas.openxmlformats.org/officeDocument/2006/relationships/hyperlink" Target="javascript:Redirection('LE0000607855_Vigente.HTML');" TargetMode="External"/><Relationship Id="rId31" Type="http://schemas.openxmlformats.org/officeDocument/2006/relationships/hyperlink" Target="javascript:Redirection('LE0000607855_Vigente.HTML" TargetMode="External"/><Relationship Id="rId44" Type="http://schemas.openxmlformats.org/officeDocument/2006/relationships/hyperlink" Target="javascript:Redirection('LE0000607855_Vigente.HTML" TargetMode="External"/><Relationship Id="rId52" Type="http://schemas.openxmlformats.org/officeDocument/2006/relationships/hyperlink" Target="javascript:Redirection('LE0000607855_Vigente.HTML" TargetMode="External"/><Relationship Id="rId60" Type="http://schemas.openxmlformats.org/officeDocument/2006/relationships/hyperlink" Target="javascript:Redirection('LE0000607855_Vigente.HTML" TargetMode="External"/><Relationship Id="rId65" Type="http://schemas.openxmlformats.org/officeDocument/2006/relationships/hyperlink" Target="javascript:Redirection('LE0000008552_Vigente.HTML');" TargetMode="External"/><Relationship Id="rId73" Type="http://schemas.openxmlformats.org/officeDocument/2006/relationships/hyperlink" Target="javascript:Redirection('LE0000607855_Vigente.HTML" TargetMode="External"/><Relationship Id="rId78" Type="http://schemas.openxmlformats.org/officeDocument/2006/relationships/hyperlink" Target="javascript:Redirection('LE0000010914_Vigente.HTML" TargetMode="External"/><Relationship Id="rId81" Type="http://schemas.openxmlformats.org/officeDocument/2006/relationships/hyperlink" Target="javascript:Redirection('LE0000607855_Vigente.HTML" TargetMode="External"/><Relationship Id="rId86" Type="http://schemas.openxmlformats.org/officeDocument/2006/relationships/hyperlink" Target="javascript:Redirection('LE0000607855_Vigente.HTML" TargetMode="External"/><Relationship Id="rId94" Type="http://schemas.openxmlformats.org/officeDocument/2006/relationships/hyperlink" Target="javascript:Redirection('LE0000559951_Vigente.HTML" TargetMode="External"/><Relationship Id="rId4" Type="http://schemas.openxmlformats.org/officeDocument/2006/relationships/webSettings" Target="webSettings.xml"/><Relationship Id="rId9" Type="http://schemas.openxmlformats.org/officeDocument/2006/relationships/hyperlink" Target="javascript:Redirection('LE0000607855_Vigente.HTML" TargetMode="External"/><Relationship Id="rId13" Type="http://schemas.openxmlformats.org/officeDocument/2006/relationships/hyperlink" Target="javascript:Redirection('LE0000607855_Vigente.HTML');" TargetMode="External"/><Relationship Id="rId18" Type="http://schemas.openxmlformats.org/officeDocument/2006/relationships/hyperlink" Target="javascript:Redirection('LE0000161343_Vigente.HTML');" TargetMode="External"/><Relationship Id="rId39" Type="http://schemas.openxmlformats.org/officeDocument/2006/relationships/hyperlink" Target="javascript:Redirection('LE0000607855_Vigente.HTML" TargetMode="External"/><Relationship Id="rId34" Type="http://schemas.openxmlformats.org/officeDocument/2006/relationships/hyperlink" Target="javascript:Redirection('LE0000607855_Vigente.HTML" TargetMode="External"/><Relationship Id="rId50" Type="http://schemas.openxmlformats.org/officeDocument/2006/relationships/hyperlink" Target="javascript:Redirection('LE0000607855_Vigente.HTML" TargetMode="External"/><Relationship Id="rId55" Type="http://schemas.openxmlformats.org/officeDocument/2006/relationships/hyperlink" Target="javascript:Redirection('LE0000607855_Vigente.HTML" TargetMode="External"/><Relationship Id="rId76" Type="http://schemas.openxmlformats.org/officeDocument/2006/relationships/hyperlink" Target="javascript:Redirection('LE0000607855_Vigente.HTML" TargetMode="External"/><Relationship Id="rId97" Type="http://schemas.openxmlformats.org/officeDocument/2006/relationships/theme" Target="theme/theme1.xml"/><Relationship Id="rId7" Type="http://schemas.openxmlformats.org/officeDocument/2006/relationships/hyperlink" Target="javascript:vNt('_ID0ESBBM')" TargetMode="External"/><Relationship Id="rId71" Type="http://schemas.openxmlformats.org/officeDocument/2006/relationships/hyperlink" Target="javascript:Redirection('LE0000607855_Vigente.HTML" TargetMode="External"/><Relationship Id="rId92" Type="http://schemas.openxmlformats.org/officeDocument/2006/relationships/hyperlink" Target="javascript:Redirection('LE0000607855_Vigente.HTML');" TargetMode="External"/><Relationship Id="rId2" Type="http://schemas.openxmlformats.org/officeDocument/2006/relationships/styles" Target="styles.xml"/><Relationship Id="rId29" Type="http://schemas.openxmlformats.org/officeDocument/2006/relationships/hyperlink" Target="javascript:Redirection('LE0000607855_Vigente.HTML" TargetMode="External"/><Relationship Id="rId24" Type="http://schemas.openxmlformats.org/officeDocument/2006/relationships/hyperlink" Target="javascript:Redirection('LE0000607855_Vigente.HTML" TargetMode="External"/><Relationship Id="rId40" Type="http://schemas.openxmlformats.org/officeDocument/2006/relationships/hyperlink" Target="javascript:Redirection('LE0000607855_Vigente.HTML" TargetMode="External"/><Relationship Id="rId45" Type="http://schemas.openxmlformats.org/officeDocument/2006/relationships/hyperlink" Target="javascript:Redirection('LE0000607855_Vigente.HTML" TargetMode="External"/><Relationship Id="rId66" Type="http://schemas.openxmlformats.org/officeDocument/2006/relationships/hyperlink" Target="javascript:Redirection('LE0000607855_Vigente.HTML" TargetMode="External"/><Relationship Id="rId87" Type="http://schemas.openxmlformats.org/officeDocument/2006/relationships/hyperlink" Target="javascript:Redirection('LE0000607855_Vigente.HTML" TargetMode="External"/><Relationship Id="rId61" Type="http://schemas.openxmlformats.org/officeDocument/2006/relationships/hyperlink" Target="javascript:Redirection('LE0000607855_Vigente.HTML" TargetMode="External"/><Relationship Id="rId82" Type="http://schemas.openxmlformats.org/officeDocument/2006/relationships/hyperlink" Target="javascript:Redirection('LE0000607855_Vigente.HTML" TargetMode="External"/><Relationship Id="rId19" Type="http://schemas.openxmlformats.org/officeDocument/2006/relationships/hyperlink" Target="javascript:Redirection('LE0000359528_Vigente.HTML');" TargetMode="External"/><Relationship Id="rId14" Type="http://schemas.openxmlformats.org/officeDocument/2006/relationships/hyperlink" Target="javascript:Redirection('LE0000526450_Vigente.HTML');" TargetMode="External"/><Relationship Id="rId30" Type="http://schemas.openxmlformats.org/officeDocument/2006/relationships/hyperlink" Target="javascript:Redirection('LE0000607855_Vigente.HTML" TargetMode="External"/><Relationship Id="rId35" Type="http://schemas.openxmlformats.org/officeDocument/2006/relationships/hyperlink" Target="javascript:Redirection('LE0000607855_Vigente.HTML" TargetMode="External"/><Relationship Id="rId56" Type="http://schemas.openxmlformats.org/officeDocument/2006/relationships/hyperlink" Target="javascript:Redirection('LE0000607855_Vigente.HTML" TargetMode="External"/><Relationship Id="rId77" Type="http://schemas.openxmlformats.org/officeDocument/2006/relationships/hyperlink" Target="javascript:Redirection('LE0000607855_Vigente.HTML" TargetMode="External"/><Relationship Id="rId8" Type="http://schemas.openxmlformats.org/officeDocument/2006/relationships/hyperlink" Target="javascript:Redirection('LE0000607855_Vigente.HTML" TargetMode="External"/><Relationship Id="rId51" Type="http://schemas.openxmlformats.org/officeDocument/2006/relationships/hyperlink" Target="javascript:Redirection('LE0000607855_Vigente.HTML" TargetMode="External"/><Relationship Id="rId72" Type="http://schemas.openxmlformats.org/officeDocument/2006/relationships/hyperlink" Target="javascript:Redirection('LE0000607855_Vigente.HTML" TargetMode="External"/><Relationship Id="rId93" Type="http://schemas.openxmlformats.org/officeDocument/2006/relationships/hyperlink" Target="javascript:Redirection('LE0000011272_Vigente.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43</Pages>
  <Words>15713</Words>
  <Characters>86426</Characters>
  <Application>Microsoft Office Word</Application>
  <DocSecurity>0</DocSecurity>
  <Lines>720</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Mia Garcia</cp:lastModifiedBy>
  <cp:revision>17</cp:revision>
  <cp:lastPrinted>2025-06-27T10:01:00Z</cp:lastPrinted>
  <dcterms:created xsi:type="dcterms:W3CDTF">2023-07-09T11:20:00Z</dcterms:created>
  <dcterms:modified xsi:type="dcterms:W3CDTF">2026-06-14T21:40:00Z</dcterms:modified>
</cp:coreProperties>
</file>